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w:t>
      </w:r>
      <w:r>
        <w:rPr>
          <w:rFonts w:hint="eastAsia" w:ascii="方正小标宋简体" w:hAnsi="方正小标宋简体" w:eastAsia="方正小标宋简体" w:cs="方正小标宋简体"/>
          <w:sz w:val="44"/>
          <w:szCs w:val="44"/>
          <w:lang w:eastAsia="zh-CN"/>
        </w:rPr>
        <w:t>国资局</w:t>
      </w:r>
      <w:r>
        <w:rPr>
          <w:rFonts w:hint="eastAsia" w:ascii="方正小标宋简体" w:hAnsi="方正小标宋简体" w:eastAsia="方正小标宋简体" w:cs="方正小标宋简体"/>
          <w:sz w:val="44"/>
          <w:szCs w:val="44"/>
        </w:rPr>
        <w:t>2020年政府信息公开工作</w:t>
      </w: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年度报告</w:t>
      </w:r>
    </w:p>
    <w:p>
      <w:pPr>
        <w:spacing w:line="560" w:lineRule="exact"/>
        <w:ind w:firstLine="640" w:firstLineChars="200"/>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lang w:val="en-US"/>
        </w:rPr>
        <w:t>按照《国务院办公厅政府信息与政务公开办公室关于政府信息公开工作年度报告有关事项的通知》(国办公开办函〔2019〕60号)要求，现公布</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val="en-US"/>
        </w:rPr>
        <w:t>2020年度政府信息公开工作年度报告。</w:t>
      </w:r>
      <w:r>
        <w:rPr>
          <w:rFonts w:hint="eastAsia" w:ascii="仿宋_GB2312" w:hAnsi="仿宋_GB2312" w:eastAsia="仿宋_GB2312" w:cs="仿宋_GB2312"/>
          <w:sz w:val="32"/>
          <w:szCs w:val="32"/>
          <w:lang w:val="en-US" w:eastAsia="zh-CN"/>
        </w:rPr>
        <w:t>本报告由</w:t>
      </w:r>
      <w:r>
        <w:rPr>
          <w:rFonts w:hint="eastAsia" w:ascii="仿宋_GB2312" w:hAnsi="仿宋_GB2312" w:eastAsia="仿宋_GB2312" w:cs="仿宋_GB2312"/>
          <w:sz w:val="32"/>
          <w:szCs w:val="32"/>
          <w:lang w:val="en-US"/>
        </w:rPr>
        <w:t>总体情况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主动公开政府信息情况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收到和处理政府信息公开申请情况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政府信息公开行政复议、行政诉讼情况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存在的主要问题及改进情况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其他需要报告的事项</w:t>
      </w:r>
      <w:r>
        <w:rPr>
          <w:rFonts w:hint="eastAsia" w:ascii="仿宋_GB2312" w:hAnsi="仿宋_GB2312" w:eastAsia="仿宋_GB2312" w:cs="仿宋_GB2312"/>
          <w:sz w:val="32"/>
          <w:szCs w:val="32"/>
          <w:lang w:val="en-US" w:eastAsia="zh-CN"/>
        </w:rPr>
        <w:t>等部分组成</w:t>
      </w:r>
      <w:r>
        <w:rPr>
          <w:rFonts w:hint="eastAsia" w:ascii="仿宋_GB2312" w:hAnsi="仿宋_GB2312" w:eastAsia="仿宋_GB2312" w:cs="仿宋_GB2312"/>
          <w:sz w:val="32"/>
          <w:szCs w:val="32"/>
          <w:lang w:val="en-US"/>
        </w:rPr>
        <w:t>。本年度报告中所列数据的统计期限从2020年1月1日起到12月31日止。</w:t>
      </w:r>
      <w:bookmarkEnd w:id="0"/>
    </w:p>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总体情况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主动公开</w:t>
      </w:r>
      <w:r>
        <w:rPr>
          <w:rFonts w:hint="eastAsia" w:ascii="楷体_GB2312" w:hAnsi="楷体_GB2312" w:eastAsia="楷体_GB2312" w:cs="楷体_GB2312"/>
          <w:sz w:val="32"/>
          <w:szCs w:val="32"/>
          <w:lang w:val="en-US" w:eastAsia="zh-CN"/>
        </w:rPr>
        <w:t>情况。</w:t>
      </w:r>
      <w:r>
        <w:rPr>
          <w:rFonts w:hint="eastAsia" w:ascii="仿宋_GB2312" w:hAnsi="仿宋_GB2312" w:eastAsia="仿宋_GB2312" w:cs="仿宋_GB2312"/>
          <w:sz w:val="32"/>
          <w:szCs w:val="32"/>
          <w:lang w:val="en-US"/>
        </w:rPr>
        <w:t>根据2020年</w:t>
      </w:r>
      <w:r>
        <w:rPr>
          <w:rFonts w:hint="eastAsia" w:ascii="仿宋_GB2312" w:hAnsi="仿宋_GB2312" w:eastAsia="仿宋_GB2312" w:cs="仿宋_GB2312"/>
          <w:sz w:val="32"/>
          <w:szCs w:val="32"/>
          <w:lang w:val="en-US" w:eastAsia="zh-CN"/>
        </w:rPr>
        <w:t>政务公开</w:t>
      </w:r>
      <w:r>
        <w:rPr>
          <w:rFonts w:hint="eastAsia" w:ascii="仿宋_GB2312" w:hAnsi="仿宋_GB2312" w:eastAsia="仿宋_GB2312" w:cs="仿宋_GB2312"/>
          <w:sz w:val="32"/>
          <w:szCs w:val="32"/>
          <w:lang w:val="en-US"/>
        </w:rPr>
        <w:t>工作安排，将</w:t>
      </w:r>
      <w:r>
        <w:rPr>
          <w:rFonts w:hint="eastAsia" w:ascii="仿宋_GB2312" w:hAnsi="仿宋_GB2312" w:eastAsia="仿宋_GB2312" w:cs="仿宋_GB2312"/>
          <w:sz w:val="32"/>
          <w:szCs w:val="32"/>
          <w:lang w:val="en-US" w:eastAsia="zh-CN"/>
        </w:rPr>
        <w:t>国资国企</w:t>
      </w:r>
      <w:r>
        <w:rPr>
          <w:rFonts w:hint="eastAsia" w:ascii="仿宋_GB2312" w:hAnsi="仿宋_GB2312" w:eastAsia="仿宋_GB2312" w:cs="仿宋_GB2312"/>
          <w:sz w:val="32"/>
          <w:szCs w:val="32"/>
          <w:lang w:val="en-US"/>
        </w:rPr>
        <w:t>作为信息公开重点，在政府</w:t>
      </w:r>
      <w:r>
        <w:rPr>
          <w:rFonts w:hint="eastAsia" w:ascii="仿宋_GB2312" w:hAnsi="仿宋_GB2312" w:eastAsia="仿宋_GB2312" w:cs="仿宋_GB2312"/>
          <w:sz w:val="32"/>
          <w:szCs w:val="32"/>
          <w:lang w:val="en-US" w:eastAsia="zh-CN"/>
        </w:rPr>
        <w:t>政务公开平台</w:t>
      </w:r>
      <w:r>
        <w:rPr>
          <w:rFonts w:hint="eastAsia" w:ascii="仿宋_GB2312" w:hAnsi="仿宋_GB2312" w:eastAsia="仿宋_GB2312" w:cs="仿宋_GB2312"/>
          <w:sz w:val="32"/>
          <w:szCs w:val="32"/>
          <w:lang w:val="en-US"/>
        </w:rPr>
        <w:t>中主动公开</w:t>
      </w:r>
      <w:r>
        <w:rPr>
          <w:rFonts w:hint="eastAsia" w:ascii="仿宋_GB2312" w:hAnsi="仿宋_GB2312" w:eastAsia="仿宋_GB2312" w:cs="仿宋_GB2312"/>
          <w:sz w:val="32"/>
          <w:szCs w:val="32"/>
          <w:lang w:val="en-US" w:eastAsia="zh-CN"/>
        </w:rPr>
        <w:t>国资国企</w:t>
      </w:r>
      <w:r>
        <w:rPr>
          <w:rFonts w:hint="eastAsia" w:ascii="仿宋_GB2312" w:hAnsi="仿宋_GB2312" w:eastAsia="仿宋_GB2312" w:cs="仿宋_GB2312"/>
          <w:sz w:val="32"/>
          <w:szCs w:val="32"/>
          <w:lang w:val="en-US"/>
        </w:rPr>
        <w:t>信息</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lang w:val="en-US"/>
        </w:rPr>
        <w:t>条。办理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人大代表建议和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政协委员提案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件，其中</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人大代表建议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件，</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政协委员提案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件，代表委员对办理态度满意率100%。通过电话、信函、政府</w:t>
      </w:r>
      <w:r>
        <w:rPr>
          <w:rFonts w:hint="eastAsia" w:ascii="仿宋_GB2312" w:hAnsi="仿宋_GB2312" w:eastAsia="仿宋_GB2312" w:cs="仿宋_GB2312"/>
          <w:sz w:val="32"/>
          <w:szCs w:val="32"/>
          <w:lang w:val="en-US" w:eastAsia="zh-CN"/>
        </w:rPr>
        <w:t>政务公开平台</w:t>
      </w:r>
      <w:r>
        <w:rPr>
          <w:rFonts w:hint="eastAsia" w:ascii="仿宋_GB2312" w:hAnsi="仿宋_GB2312" w:eastAsia="仿宋_GB2312" w:cs="仿宋_GB2312"/>
          <w:sz w:val="32"/>
          <w:szCs w:val="32"/>
          <w:lang w:val="en-US"/>
        </w:rPr>
        <w:t>等多渠道受理咨询、投诉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rPr>
        <w:t>件，均按期办结，无逾期受理情况</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依申请公开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highlight w:val="none"/>
          <w:lang w:val="en-US" w:eastAsia="zh-CN"/>
        </w:rPr>
        <w:t>本单位持续规范完善依申请公开流程，健全接收、登记、审核、办理、答复、归档等闭环管理机制，严格按照区政府要求，提高答复专业化法治化水平。2020年，本单位共接收办理政府信息公开申请0件。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政府信息管理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highlight w:val="none"/>
          <w:lang w:val="en-US" w:eastAsia="zh-CN"/>
        </w:rPr>
        <w:t>进一步推进国资国企政策解读工作，在政府网站、微信等渠道上多途径宣传各项国资国企改革政策，提高政策透明度，把握舆论主动权。积极回应社会关切，利用新媒体主动推送信息，完善“临淄国资”公众号宣传平台，共推送微信81条，切实加强政策宣讲力度，确保相关政策落实到位、管理到位。</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平台建设</w:t>
      </w:r>
      <w:r>
        <w:rPr>
          <w:rFonts w:hint="eastAsia" w:ascii="Times New Roman" w:hAnsi="Times New Roman" w:eastAsia="仿宋_GB2312" w:cs="Times New Roman"/>
          <w:color w:val="auto"/>
          <w:sz w:val="32"/>
          <w:szCs w:val="32"/>
          <w:lang w:val="en-US" w:eastAsia="zh-CN"/>
        </w:rPr>
        <w:t>。</w:t>
      </w:r>
      <w:r>
        <w:rPr>
          <w:rFonts w:hint="default" w:ascii="仿宋_GB2312" w:hAnsi="仿宋_GB2312" w:eastAsia="仿宋_GB2312" w:cs="仿宋_GB2312"/>
          <w:sz w:val="32"/>
          <w:szCs w:val="32"/>
          <w:highlight w:val="none"/>
          <w:lang w:val="en-US" w:eastAsia="zh-CN"/>
        </w:rPr>
        <w:t>规范</w:t>
      </w:r>
      <w:r>
        <w:rPr>
          <w:rFonts w:hint="eastAsia" w:ascii="仿宋_GB2312" w:hAnsi="仿宋_GB2312" w:eastAsia="仿宋_GB2312" w:cs="仿宋_GB2312"/>
          <w:sz w:val="32"/>
          <w:szCs w:val="32"/>
          <w:highlight w:val="none"/>
          <w:lang w:val="en-US" w:eastAsia="zh-CN"/>
        </w:rPr>
        <w:t>本单位</w:t>
      </w:r>
      <w:r>
        <w:rPr>
          <w:rFonts w:hint="default" w:ascii="仿宋_GB2312" w:hAnsi="仿宋_GB2312" w:eastAsia="仿宋_GB2312" w:cs="仿宋_GB2312"/>
          <w:sz w:val="32"/>
          <w:szCs w:val="32"/>
          <w:highlight w:val="none"/>
          <w:lang w:val="en-US" w:eastAsia="zh-CN"/>
        </w:rPr>
        <w:t>政府信息公开信息的审核发布机制</w:t>
      </w:r>
      <w:r>
        <w:rPr>
          <w:rFonts w:hint="eastAsia" w:ascii="仿宋_GB2312" w:hAnsi="仿宋_GB2312" w:eastAsia="仿宋_GB2312" w:cs="仿宋_GB2312"/>
          <w:sz w:val="32"/>
          <w:szCs w:val="32"/>
          <w:highlight w:val="none"/>
          <w:lang w:val="en-US" w:eastAsia="zh-CN"/>
        </w:rPr>
        <w:t>和</w:t>
      </w:r>
      <w:r>
        <w:rPr>
          <w:rFonts w:hint="default" w:ascii="仿宋_GB2312" w:hAnsi="仿宋_GB2312" w:eastAsia="仿宋_GB2312" w:cs="仿宋_GB2312"/>
          <w:sz w:val="32"/>
          <w:szCs w:val="32"/>
          <w:highlight w:val="none"/>
          <w:lang w:val="en-US" w:eastAsia="zh-CN"/>
        </w:rPr>
        <w:t>日常</w:t>
      </w:r>
      <w:r>
        <w:rPr>
          <w:rFonts w:hint="eastAsia" w:ascii="仿宋_GB2312" w:hAnsi="仿宋_GB2312" w:eastAsia="仿宋_GB2312" w:cs="仿宋_GB2312"/>
          <w:sz w:val="32"/>
          <w:szCs w:val="32"/>
          <w:highlight w:val="none"/>
          <w:lang w:val="en-US" w:eastAsia="zh-CN"/>
        </w:rPr>
        <w:t>维护</w:t>
      </w:r>
      <w:r>
        <w:rPr>
          <w:rFonts w:hint="default"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lang w:val="en-US" w:eastAsia="zh-CN"/>
        </w:rPr>
        <w:t>机制</w:t>
      </w:r>
      <w:r>
        <w:rPr>
          <w:rFonts w:hint="default" w:ascii="仿宋_GB2312" w:hAnsi="仿宋_GB2312" w:eastAsia="仿宋_GB2312" w:cs="仿宋_GB2312"/>
          <w:sz w:val="32"/>
          <w:szCs w:val="32"/>
          <w:highlight w:val="none"/>
          <w:lang w:val="en-US" w:eastAsia="zh-CN"/>
        </w:rPr>
        <w:t>，确保信息准确、及时、安全、有效发布。对外积极投稿</w:t>
      </w:r>
      <w:r>
        <w:rPr>
          <w:rFonts w:hint="eastAsia" w:ascii="仿宋_GB2312" w:hAnsi="仿宋_GB2312" w:eastAsia="仿宋_GB2312" w:cs="仿宋_GB2312"/>
          <w:sz w:val="32"/>
          <w:szCs w:val="32"/>
          <w:highlight w:val="none"/>
          <w:lang w:val="en-US" w:eastAsia="zh-CN"/>
        </w:rPr>
        <w:t>80余篇</w:t>
      </w:r>
      <w:r>
        <w:rPr>
          <w:rFonts w:hint="default" w:ascii="仿宋_GB2312" w:hAnsi="仿宋_GB2312" w:eastAsia="仿宋_GB2312" w:cs="仿宋_GB2312"/>
          <w:sz w:val="32"/>
          <w:szCs w:val="32"/>
          <w:highlight w:val="none"/>
          <w:lang w:val="en-US" w:eastAsia="zh-CN"/>
        </w:rPr>
        <w:t>，其中：</w:t>
      </w:r>
      <w:r>
        <w:rPr>
          <w:rFonts w:hint="eastAsia" w:ascii="仿宋_GB2312" w:hAnsi="仿宋_GB2312" w:eastAsia="仿宋_GB2312" w:cs="仿宋_GB2312"/>
          <w:sz w:val="32"/>
          <w:szCs w:val="32"/>
          <w:highlight w:val="none"/>
          <w:lang w:val="en-US" w:eastAsia="zh-CN"/>
        </w:rPr>
        <w:t>《山东国资》发稿一篇，</w:t>
      </w:r>
      <w:r>
        <w:rPr>
          <w:rFonts w:hint="default" w:ascii="仿宋_GB2312" w:hAnsi="仿宋_GB2312" w:eastAsia="仿宋_GB2312" w:cs="仿宋_GB2312"/>
          <w:sz w:val="32"/>
          <w:szCs w:val="32"/>
          <w:highlight w:val="none"/>
          <w:lang w:val="en-US" w:eastAsia="zh-CN"/>
        </w:rPr>
        <w:t>《淄博</w:t>
      </w:r>
      <w:r>
        <w:rPr>
          <w:rFonts w:hint="eastAsia" w:ascii="仿宋_GB2312" w:hAnsi="仿宋_GB2312" w:eastAsia="仿宋_GB2312" w:cs="仿宋_GB2312"/>
          <w:sz w:val="32"/>
          <w:szCs w:val="32"/>
          <w:highlight w:val="none"/>
          <w:lang w:val="en-US" w:eastAsia="zh-CN"/>
        </w:rPr>
        <w:t>晚</w:t>
      </w:r>
      <w:r>
        <w:rPr>
          <w:rFonts w:hint="default" w:ascii="仿宋_GB2312" w:hAnsi="仿宋_GB2312" w:eastAsia="仿宋_GB2312" w:cs="仿宋_GB2312"/>
          <w:sz w:val="32"/>
          <w:szCs w:val="32"/>
          <w:highlight w:val="none"/>
          <w:lang w:val="en-US" w:eastAsia="zh-CN"/>
        </w:rPr>
        <w:t>报》发稿1篇</w:t>
      </w:r>
      <w:r>
        <w:rPr>
          <w:rFonts w:hint="eastAsia" w:ascii="仿宋_GB2312" w:hAnsi="仿宋_GB2312" w:eastAsia="仿宋_GB2312" w:cs="仿宋_GB2312"/>
          <w:sz w:val="32"/>
          <w:szCs w:val="32"/>
          <w:highlight w:val="none"/>
          <w:lang w:val="en-US" w:eastAsia="zh-CN"/>
        </w:rPr>
        <w:t>，“四大活动”工作简报发布信息2篇，临淄云发布信息60余篇</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监督保障</w:t>
      </w:r>
      <w:r>
        <w:rPr>
          <w:rFonts w:hint="eastAsia" w:ascii="楷体_GB2312" w:hAnsi="楷体_GB2312" w:eastAsia="楷体_GB2312" w:cs="楷体_GB2312"/>
          <w:color w:val="auto"/>
          <w:sz w:val="32"/>
          <w:szCs w:val="32"/>
          <w:lang w:val="en-US" w:eastAsia="zh-CN"/>
        </w:rPr>
        <w:t>。</w:t>
      </w:r>
      <w:r>
        <w:rPr>
          <w:rFonts w:hint="default" w:ascii="仿宋_GB2312" w:hAnsi="仿宋_GB2312" w:eastAsia="仿宋_GB2312" w:cs="仿宋_GB2312"/>
          <w:sz w:val="32"/>
          <w:szCs w:val="32"/>
          <w:highlight w:val="none"/>
          <w:lang w:val="en-US" w:eastAsia="zh-CN"/>
        </w:rPr>
        <w:t>及时</w:t>
      </w:r>
      <w:r>
        <w:rPr>
          <w:rFonts w:hint="eastAsia" w:ascii="仿宋_GB2312" w:hAnsi="仿宋_GB2312" w:eastAsia="仿宋_GB2312" w:cs="仿宋_GB2312"/>
          <w:sz w:val="32"/>
          <w:szCs w:val="32"/>
          <w:highlight w:val="none"/>
          <w:lang w:val="en-US" w:eastAsia="zh-CN"/>
        </w:rPr>
        <w:t>传达学习上级关于政务信息公开工作要点和国资国企改革领域政务公开有关指引等文件精神，进一步明确要求、压实责任，提高政府信息公开工作效率。在年底科室综合考核中，将政府信息公开作为重要考核指标，不断建立健全国资国企信息公开工作长效机制。</w:t>
      </w:r>
    </w:p>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该部分以表格形式报告。表格如下：</w:t>
      </w:r>
    </w:p>
    <w:tbl>
      <w:tblPr>
        <w:tblStyle w:val="15"/>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sz w:val="21"/>
                <w:szCs w:val="21"/>
              </w:rPr>
            </w:pPr>
            <w:r>
              <w:rPr>
                <w:rFonts w:hint="eastAsia" w:ascii="黑体" w:hAnsi="黑体" w:eastAsia="黑体" w:cs="黑体"/>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政府集中采购</w:t>
            </w:r>
          </w:p>
        </w:tc>
        <w:tc>
          <w:tcPr>
            <w:tcW w:w="1842"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3883" w:type="dxa"/>
            <w:gridSpan w:val="2"/>
            <w:tcBorders>
              <w:top w:val="single" w:color="000000" w:sz="2" w:space="0"/>
              <w:lef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bl>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该部分以表格形式报告。表格如下：</w:t>
      </w:r>
    </w:p>
    <w:tbl>
      <w:tblPr>
        <w:tblStyle w:val="16"/>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180"/>
        <w:gridCol w:w="2083"/>
        <w:gridCol w:w="588"/>
        <w:gridCol w:w="668"/>
        <w:gridCol w:w="668"/>
        <w:gridCol w:w="830"/>
        <w:gridCol w:w="830"/>
        <w:gridCol w:w="507"/>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（本列数据的勾稽关系为：第一项加第二项之和，等于第三项加第四项之和）</w:t>
            </w:r>
          </w:p>
        </w:tc>
        <w:tc>
          <w:tcPr>
            <w:tcW w:w="0" w:type="auto"/>
            <w:gridSpan w:val="7"/>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自然人</w:t>
            </w:r>
          </w:p>
        </w:tc>
        <w:tc>
          <w:tcPr>
            <w:tcW w:w="0" w:type="auto"/>
            <w:gridSpan w:val="5"/>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法人或其他组织</w:t>
            </w: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商业企业</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科研机构</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社会公益组织</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法律服务机构</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其他</w:t>
            </w: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HAnsi" w:hAnsiTheme="minorHAnsi" w:eastAsiaTheme="minorEastAsia" w:cstheme="minorBid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一、本年新收政府信息公开申请数量</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二、上年结转政府信息公开申请数量</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三、本年度办理结果</w:t>
            </w:r>
          </w:p>
        </w:tc>
        <w:tc>
          <w:tcPr>
            <w:tcW w:w="0" w:type="auto"/>
            <w:gridSpan w:val="2"/>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（一）予以公开</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gridSpan w:val="2"/>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（二）部分公开（区分处理的，只计这一情形，不计其他情形）</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（三）不予公开</w:t>
            </w: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1．属于国家秘密</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2．其他法律行政法规禁止公开</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3．危及“三安全一稳定”</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4．保护第三方合法权益</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5．属于三类内部事务信息</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6．属于四类过程性信息</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7．属于行政执法案卷</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8．属于行政查询事项</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（四）无法提供</w:t>
            </w: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1．本单位不掌握相关政府信息</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2．没有现成信息需要另行制作</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3．补正后申请内容仍不明确</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（五）不予处理</w:t>
            </w: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1．信访举报投诉类申请</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2．重复申请</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3．要求提供公开出版物</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4．无正当理由大量反复申请</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ind w:left="210" w:hanging="210" w:hangingChars="1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5．要求行政机关确认或重新出具已获取信息</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gridSpan w:val="2"/>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（六）其他处理</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gridSpan w:val="2"/>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（七）总计</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四、结转下年度继续办理</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bl>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leftChars="200"/>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该部分以表格形式报告。表格如下：</w:t>
      </w:r>
    </w:p>
    <w:tbl>
      <w:tblPr>
        <w:tblStyle w:val="16"/>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635"/>
        <w:gridCol w:w="636"/>
        <w:gridCol w:w="636"/>
        <w:gridCol w:w="477"/>
        <w:gridCol w:w="636"/>
        <w:gridCol w:w="636"/>
        <w:gridCol w:w="636"/>
        <w:gridCol w:w="636"/>
        <w:gridCol w:w="477"/>
        <w:gridCol w:w="636"/>
        <w:gridCol w:w="636"/>
        <w:gridCol w:w="636"/>
        <w:gridCol w:w="636"/>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行政复议</w:t>
            </w:r>
          </w:p>
        </w:tc>
        <w:tc>
          <w:tcPr>
            <w:tcW w:w="0" w:type="auto"/>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总计</w:t>
            </w:r>
          </w:p>
        </w:tc>
        <w:tc>
          <w:tcPr>
            <w:tcW w:w="0" w:type="auto"/>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0" w:type="auto"/>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总计</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r>
    </w:tbl>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存在的主要问题及改进情况</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2020年，政务公开存在的主要问题主要包括以下几个方面：一是</w:t>
      </w:r>
      <w:r>
        <w:rPr>
          <w:rFonts w:hint="eastAsia" w:ascii="仿宋_GB2312" w:hAnsi="仿宋_GB2312" w:eastAsia="仿宋_GB2312" w:cs="仿宋_GB2312"/>
          <w:sz w:val="32"/>
          <w:szCs w:val="32"/>
          <w:lang w:val="en-US" w:eastAsia="zh-CN"/>
        </w:rPr>
        <w:t>信息公开的广度和深度不足，时效性有待进一步增强，回应群众关切要更加及时。二是急需加强政务公开队伍建设，工作人员政务公开能力有待进一步提升。三是政策解读的方式不够丰富、群众贴近性不够，公开形式要进一步丰富和多样，政策解读质量要进一步提高。</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改进情况：一是将政府信息公开工作纳入各科室年度综合目标责任考核，建立更加规范、有效的政务公开机制。二是对负责政务信息公开的工作人员加强业务培训，提高工作人员的专业能力和专业水平，确保政务公开工作高质量完成。</w:t>
      </w:r>
    </w:p>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其他需要报告的事项</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20"/>
      </w:rPr>
    </w:pPr>
    <w:r>
      <w:rPr>
        <w:sz w:val="20"/>
        <w:lang w:val="en-US" w:bidi="ar-SA"/>
      </w:rPr>
      <w:pict>
        <v:shape id="文本框 8"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4298A"/>
    <w:multiLevelType w:val="multilevel"/>
    <w:tmpl w:val="85B4298A"/>
    <w:lvl w:ilvl="0" w:tentative="0">
      <w:start w:val="1"/>
      <w:numFmt w:val="decimal"/>
      <w:pStyle w:val="2"/>
      <w:suff w:val="space"/>
      <w:lvlText w:val="%1."/>
      <w:lvlJc w:val="left"/>
      <w:pPr>
        <w:tabs>
          <w:tab w:val="left" w:pos="420"/>
        </w:tabs>
        <w:ind w:left="0" w:firstLine="40"/>
      </w:pPr>
      <w:rPr>
        <w:rFonts w:hint="default" w:ascii="宋体" w:hAnsi="宋体" w:eastAsia="宋体" w:cs="宋体"/>
      </w:rPr>
    </w:lvl>
    <w:lvl w:ilvl="1" w:tentative="0">
      <w:start w:val="1"/>
      <w:numFmt w:val="decimal"/>
      <w:pStyle w:val="3"/>
      <w:suff w:val="space"/>
      <w:lvlText w:val="%1.%2"/>
      <w:lvlJc w:val="left"/>
      <w:pPr>
        <w:tabs>
          <w:tab w:val="left" w:pos="420"/>
        </w:tabs>
        <w:ind w:left="0" w:firstLine="40"/>
      </w:pPr>
      <w:rPr>
        <w:rFonts w:hint="default" w:ascii="宋体" w:hAnsi="宋体" w:eastAsia="宋体" w:cs="宋体"/>
      </w:rPr>
    </w:lvl>
    <w:lvl w:ilvl="2" w:tentative="0">
      <w:start w:val="1"/>
      <w:numFmt w:val="decimal"/>
      <w:pStyle w:val="4"/>
      <w:suff w:val="space"/>
      <w:lvlText w:val="%1.%2.%3"/>
      <w:lvlJc w:val="left"/>
      <w:pPr>
        <w:tabs>
          <w:tab w:val="left" w:pos="420"/>
        </w:tabs>
        <w:ind w:left="0" w:firstLine="40"/>
      </w:pPr>
      <w:rPr>
        <w:rFonts w:hint="default" w:ascii="宋体" w:hAnsi="宋体" w:eastAsia="宋体" w:cs="宋体"/>
      </w:rPr>
    </w:lvl>
    <w:lvl w:ilvl="3" w:tentative="0">
      <w:start w:val="1"/>
      <w:numFmt w:val="decimal"/>
      <w:pStyle w:val="5"/>
      <w:suff w:val="space"/>
      <w:lvlText w:val="%1.%2.%3.%4"/>
      <w:lvlJc w:val="left"/>
      <w:pPr>
        <w:tabs>
          <w:tab w:val="left" w:pos="420"/>
        </w:tabs>
        <w:ind w:left="0" w:firstLine="40"/>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DE5119"/>
    <w:rsid w:val="000A1628"/>
    <w:rsid w:val="000D6C4A"/>
    <w:rsid w:val="000E61D8"/>
    <w:rsid w:val="00124155"/>
    <w:rsid w:val="00154C8D"/>
    <w:rsid w:val="00162875"/>
    <w:rsid w:val="00174DC8"/>
    <w:rsid w:val="001D1F86"/>
    <w:rsid w:val="001E2F2E"/>
    <w:rsid w:val="00296EB1"/>
    <w:rsid w:val="00303887"/>
    <w:rsid w:val="003A0F49"/>
    <w:rsid w:val="00481E75"/>
    <w:rsid w:val="004D2CF1"/>
    <w:rsid w:val="0055797E"/>
    <w:rsid w:val="005643B3"/>
    <w:rsid w:val="00627313"/>
    <w:rsid w:val="006C3007"/>
    <w:rsid w:val="006E3FF2"/>
    <w:rsid w:val="007215A6"/>
    <w:rsid w:val="0072406D"/>
    <w:rsid w:val="007D2F7C"/>
    <w:rsid w:val="00820A12"/>
    <w:rsid w:val="00857D17"/>
    <w:rsid w:val="008602C0"/>
    <w:rsid w:val="00893ABA"/>
    <w:rsid w:val="008D65EC"/>
    <w:rsid w:val="0098752B"/>
    <w:rsid w:val="0099295E"/>
    <w:rsid w:val="009B1249"/>
    <w:rsid w:val="009D1612"/>
    <w:rsid w:val="00A23474"/>
    <w:rsid w:val="00A80CB1"/>
    <w:rsid w:val="00A931EA"/>
    <w:rsid w:val="00AE7CF0"/>
    <w:rsid w:val="00B7019E"/>
    <w:rsid w:val="00BA0B20"/>
    <w:rsid w:val="00C17899"/>
    <w:rsid w:val="00C17BB9"/>
    <w:rsid w:val="00C66A78"/>
    <w:rsid w:val="00C767F8"/>
    <w:rsid w:val="00CB4FD8"/>
    <w:rsid w:val="00CC2387"/>
    <w:rsid w:val="00CE03BD"/>
    <w:rsid w:val="00D607F5"/>
    <w:rsid w:val="00DD359C"/>
    <w:rsid w:val="00DF74A4"/>
    <w:rsid w:val="00E2645A"/>
    <w:rsid w:val="00E374A3"/>
    <w:rsid w:val="00E57F6F"/>
    <w:rsid w:val="00EE24A3"/>
    <w:rsid w:val="00F41DB7"/>
    <w:rsid w:val="00F66BF8"/>
    <w:rsid w:val="00F718E2"/>
    <w:rsid w:val="01CF66E9"/>
    <w:rsid w:val="025A2664"/>
    <w:rsid w:val="04786D61"/>
    <w:rsid w:val="08DD2FD7"/>
    <w:rsid w:val="09366BBE"/>
    <w:rsid w:val="0A967B92"/>
    <w:rsid w:val="0CDA472C"/>
    <w:rsid w:val="0E1A6A56"/>
    <w:rsid w:val="103C6FF6"/>
    <w:rsid w:val="117E78A5"/>
    <w:rsid w:val="15D806BC"/>
    <w:rsid w:val="16946B4B"/>
    <w:rsid w:val="19135F47"/>
    <w:rsid w:val="1BC40266"/>
    <w:rsid w:val="1D4B58FC"/>
    <w:rsid w:val="20544CB8"/>
    <w:rsid w:val="205A38ED"/>
    <w:rsid w:val="20711667"/>
    <w:rsid w:val="236B64FD"/>
    <w:rsid w:val="254B797D"/>
    <w:rsid w:val="29922A23"/>
    <w:rsid w:val="29D35B3E"/>
    <w:rsid w:val="2C9F4E9B"/>
    <w:rsid w:val="2CF10EB7"/>
    <w:rsid w:val="2E412DD6"/>
    <w:rsid w:val="2EEC05A0"/>
    <w:rsid w:val="36726698"/>
    <w:rsid w:val="36761A31"/>
    <w:rsid w:val="37FE167F"/>
    <w:rsid w:val="3BAC5D48"/>
    <w:rsid w:val="3CF60E3E"/>
    <w:rsid w:val="3D3A0C40"/>
    <w:rsid w:val="3FDA20D2"/>
    <w:rsid w:val="411F700C"/>
    <w:rsid w:val="429E0CCB"/>
    <w:rsid w:val="42CB2A5B"/>
    <w:rsid w:val="47057BB5"/>
    <w:rsid w:val="47DA37B8"/>
    <w:rsid w:val="49090EEF"/>
    <w:rsid w:val="4A847297"/>
    <w:rsid w:val="4BB320C6"/>
    <w:rsid w:val="4BDE13BD"/>
    <w:rsid w:val="4D004834"/>
    <w:rsid w:val="4D427756"/>
    <w:rsid w:val="4E0B024D"/>
    <w:rsid w:val="50F96A91"/>
    <w:rsid w:val="528B03F8"/>
    <w:rsid w:val="52963610"/>
    <w:rsid w:val="54463AAF"/>
    <w:rsid w:val="545B118D"/>
    <w:rsid w:val="550F0C0F"/>
    <w:rsid w:val="56664879"/>
    <w:rsid w:val="574F60A4"/>
    <w:rsid w:val="592A2859"/>
    <w:rsid w:val="59934979"/>
    <w:rsid w:val="5C281CE3"/>
    <w:rsid w:val="5D686C0C"/>
    <w:rsid w:val="5EB9414F"/>
    <w:rsid w:val="62775988"/>
    <w:rsid w:val="6764553C"/>
    <w:rsid w:val="67E27BED"/>
    <w:rsid w:val="6867487C"/>
    <w:rsid w:val="68AE2D6E"/>
    <w:rsid w:val="6A61711B"/>
    <w:rsid w:val="6C6F2137"/>
    <w:rsid w:val="6CE374DC"/>
    <w:rsid w:val="6D2812B8"/>
    <w:rsid w:val="6F5B62C3"/>
    <w:rsid w:val="72460993"/>
    <w:rsid w:val="794837D3"/>
    <w:rsid w:val="798D2570"/>
    <w:rsid w:val="7CDE5119"/>
    <w:rsid w:val="7DBA3EA7"/>
    <w:rsid w:val="7E6C1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ind w:left="151"/>
    </w:pPr>
    <w:rPr>
      <w:sz w:val="32"/>
      <w:szCs w:val="32"/>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1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paragraph" w:styleId="19">
    <w:name w:val="List Paragraph"/>
    <w:basedOn w:val="1"/>
    <w:qFormat/>
    <w:uiPriority w:val="1"/>
    <w:pPr>
      <w:ind w:left="151" w:firstLine="628"/>
    </w:pPr>
  </w:style>
  <w:style w:type="paragraph" w:customStyle="1" w:styleId="2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943</Words>
  <Characters>5377</Characters>
  <Lines>44</Lines>
  <Paragraphs>12</Paragraphs>
  <TotalTime>102</TotalTime>
  <ScaleCrop>false</ScaleCrop>
  <LinksUpToDate>false</LinksUpToDate>
  <CharactersWithSpaces>6308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2021-01-14T01:25:00Z</dcterms:created>
  <dc:creator>Administrator</dc:creator>
  <cp:lastModifiedBy>西湖雪狼</cp:lastModifiedBy>
  <dcterms:modified xsi:type="dcterms:W3CDTF">2021-01-27T02:42:14Z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