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val="en-US" w:eastAsia="zh-CN"/>
        </w:rPr>
        <w:t>金岭回族镇</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21</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eastAsia" w:ascii="黑体" w:hAnsi="黑体" w:eastAsia="黑体"/>
          <w:sz w:val="32"/>
          <w:szCs w:val="32"/>
        </w:rPr>
      </w:pPr>
      <w:r>
        <w:rPr>
          <w:rFonts w:hint="eastAsia" w:ascii="黑体" w:hAnsi="黑体" w:eastAsia="黑体"/>
          <w:sz w:val="32"/>
          <w:szCs w:val="32"/>
        </w:rPr>
        <w:t>总体情况</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主动公开情况说明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全镇 2021年度共主动公开政府业务工作信息87条，法规公文信息5条，其中全文电子化达100%。为方便公众了解信息，进一步完善了线上金岭回族镇政务信息系统及线下公示栏，同时拓展多方渠道，通过公告栏、微信公众号、视频号、抖音号等公共媒体进行宣传，确保了便民服务性的落实。</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依申请公开情况说明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2021年度，全镇受理信息公开申请0件。</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政府信息管理情况说明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完善了政府信息公开各项管理制度。为提高政府信息公开便民性，方便群众查阅，根据《中华人民共和国政府信息公开条例》（国务院令第711号）、《山东省政府信息公开办法》，我镇将《金岭回族镇人民政府信息公开指南》进一步完善，将其中主动公开、依申请公开和不予公开三类公开信息类别依据范围、形式、时限、注意事项等程序性内容进行细化，并及时于临淄区金岭回族镇人民政府网站上发布。同时依据主动公开基本目录，我镇信息公开工作人员更精细化地将公开内容进行分类、校稿、审核，确保信息公开工作的良好开展。</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政府信息公开平台建设情况说明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日常政府信息公开平台主要由线上临淄区金岭回族镇人民政府网站以及线下公示栏组成，2021全年两平台运行良好。同时为扩大政府信息公开群众覆盖面，微信公众号、视频号、抖音号等媒体平台皆被充分的运用，面对一些紧急公开信息，我镇采取网站、微信公众号、视频号一线牵的形式，及时的在多平台多渠道进行发布，以确保信息的时效性。</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监督保障情况说明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进一步加强组织领导队伍，及时充实工作力量。由于人事变动，我镇及时调整了人员部署，确保政务公开工作的延续性。镇长及党委副书记分别担任信息公开领导小组组长及副组长，党政办副主任具体负责信息公开工作，并配备了信息公开工作人员2名。 </w:t>
      </w:r>
    </w:p>
    <w:tbl>
      <w:tblPr>
        <w:tblStyle w:val="6"/>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677"/>
        <w:gridCol w:w="1912"/>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6"/>
                <w:szCs w:val="26"/>
                <w:vertAlign w:val="baseline"/>
                <w:lang w:val="en-US" w:eastAsia="zh-CN"/>
              </w:rPr>
            </w:pPr>
            <w:r>
              <w:rPr>
                <w:rFonts w:hint="eastAsia" w:ascii="仿宋" w:hAnsi="仿宋" w:eastAsia="仿宋" w:cs="仿宋"/>
                <w:b/>
                <w:bCs/>
                <w:sz w:val="26"/>
                <w:szCs w:val="26"/>
                <w:vertAlign w:val="baseline"/>
                <w:lang w:val="en-US" w:eastAsia="zh-CN"/>
              </w:rPr>
              <w:t>姓  名</w:t>
            </w:r>
          </w:p>
        </w:tc>
        <w:tc>
          <w:tcPr>
            <w:tcW w:w="1677"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6"/>
                <w:szCs w:val="26"/>
                <w:vertAlign w:val="baseline"/>
                <w:lang w:val="en-US" w:eastAsia="zh-CN"/>
              </w:rPr>
            </w:pPr>
            <w:r>
              <w:rPr>
                <w:rFonts w:hint="eastAsia" w:ascii="仿宋" w:hAnsi="仿宋" w:eastAsia="仿宋" w:cs="仿宋"/>
                <w:b/>
                <w:bCs/>
                <w:sz w:val="26"/>
                <w:szCs w:val="26"/>
                <w:vertAlign w:val="baseline"/>
                <w:lang w:val="en-US" w:eastAsia="zh-CN"/>
              </w:rPr>
              <w:t>职  务</w:t>
            </w:r>
          </w:p>
        </w:tc>
        <w:tc>
          <w:tcPr>
            <w:tcW w:w="1912"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6"/>
                <w:szCs w:val="26"/>
                <w:vertAlign w:val="baseline"/>
                <w:lang w:val="en-US" w:eastAsia="zh-CN"/>
              </w:rPr>
            </w:pPr>
            <w:r>
              <w:rPr>
                <w:rFonts w:hint="eastAsia" w:ascii="仿宋" w:hAnsi="仿宋" w:eastAsia="仿宋" w:cs="仿宋"/>
                <w:b/>
                <w:bCs/>
                <w:sz w:val="26"/>
                <w:szCs w:val="26"/>
                <w:vertAlign w:val="baseline"/>
                <w:lang w:val="en-US" w:eastAsia="zh-CN"/>
              </w:rPr>
              <w:t>联系方式</w:t>
            </w:r>
          </w:p>
        </w:tc>
        <w:tc>
          <w:tcPr>
            <w:tcW w:w="3900"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6"/>
                <w:szCs w:val="26"/>
                <w:vertAlign w:val="baseline"/>
                <w:lang w:val="en-US" w:eastAsia="zh-CN"/>
              </w:rPr>
            </w:pPr>
            <w:r>
              <w:rPr>
                <w:rFonts w:hint="eastAsia" w:ascii="仿宋" w:hAnsi="仿宋" w:eastAsia="仿宋" w:cs="仿宋"/>
                <w:b/>
                <w:bCs/>
                <w:sz w:val="26"/>
                <w:szCs w:val="26"/>
                <w:vertAlign w:val="baseline"/>
                <w:lang w:val="en-US" w:eastAsia="zh-CN"/>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trPr>
        <w:tc>
          <w:tcPr>
            <w:tcW w:w="109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李泽龙</w:t>
            </w:r>
          </w:p>
        </w:tc>
        <w:tc>
          <w:tcPr>
            <w:tcW w:w="1677"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党委副书记</w:t>
            </w:r>
          </w:p>
        </w:tc>
        <w:tc>
          <w:tcPr>
            <w:tcW w:w="1912"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18753357806</w:t>
            </w:r>
          </w:p>
        </w:tc>
        <w:tc>
          <w:tcPr>
            <w:tcW w:w="3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政务公开分管领导，统筹负责政务公开工作。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09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路文文</w:t>
            </w:r>
          </w:p>
        </w:tc>
        <w:tc>
          <w:tcPr>
            <w:tcW w:w="1677"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党委委员、党政办副主任</w:t>
            </w:r>
          </w:p>
        </w:tc>
        <w:tc>
          <w:tcPr>
            <w:tcW w:w="1912"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15153396508</w:t>
            </w:r>
          </w:p>
        </w:tc>
        <w:tc>
          <w:tcPr>
            <w:tcW w:w="3900"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政务公开专职工作人员，具体负责政务公开工作，做好政务公开平台维护，及时公开重要信息。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09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王英旭</w:t>
            </w:r>
          </w:p>
        </w:tc>
        <w:tc>
          <w:tcPr>
            <w:tcW w:w="1677"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党政办工作人员</w:t>
            </w:r>
          </w:p>
        </w:tc>
        <w:tc>
          <w:tcPr>
            <w:tcW w:w="1912"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17852121963</w:t>
            </w:r>
          </w:p>
        </w:tc>
        <w:tc>
          <w:tcPr>
            <w:tcW w:w="3900"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6"/>
                <w:szCs w:val="26"/>
                <w:vertAlign w:val="baseline"/>
                <w:lang w:val="en-US" w:eastAsia="zh-CN"/>
              </w:rPr>
            </w:pPr>
            <w:r>
              <w:rPr>
                <w:rFonts w:hint="eastAsia" w:ascii="仿宋_GB2312" w:hAnsi="仿宋_GB2312" w:eastAsia="仿宋_GB2312" w:cs="仿宋_GB2312"/>
                <w:sz w:val="26"/>
                <w:szCs w:val="26"/>
                <w:vertAlign w:val="baseline"/>
                <w:lang w:val="en-US" w:eastAsia="zh-CN"/>
              </w:rPr>
              <w:t>政务公开专职工作人员，具体负责政务公开工作，做好政务公开平台维护，及时公开重要信息。</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着力加强宣传和工作人员培训。依据《中华人民共和国政府信息公开条例》，我镇党政班子召开会议对政务信息公开工作进行研究，并及时与相关工作人员进行交流，充分做好工作开展情况以及会议、文件精神的上传下达。同时多次组织机关、各行政村及各单位工作人员针对信息公开相关知识进行研学，增进了解与贯彻，提高专业素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严格监督认真指导。围绕政务公开工作年度目标任务和工作重点，按照职责分工，认真组织开展日常监督检查工作，认真落实监管责任，未发生政务舆情和网页被篡改及业务中断等情况。我镇设置了电话、传真、邮箱等多种投诉渠道，自觉接受社会各界监督。我镇坚持考核评估，定时对信息公开情况进行督查，促进政务信息公开工作进一步规范化、制度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二、主动公开政府信息情况</w:t>
      </w:r>
    </w:p>
    <w:p>
      <w:pPr>
        <w:keepNext w:val="0"/>
        <w:keepLines w:val="0"/>
        <w:pageBreakBefore w:val="0"/>
        <w:kinsoku/>
        <w:wordWrap/>
        <w:overflowPunct/>
        <w:topLinePunct w:val="0"/>
        <w:autoSpaceDE/>
        <w:autoSpaceDN/>
        <w:bidi w:val="0"/>
        <w:adjustRightInd/>
        <w:snapToGrid/>
        <w:spacing w:before="9" w:line="560" w:lineRule="exact"/>
        <w:jc w:val="left"/>
        <w:textAlignment w:val="auto"/>
        <w:rPr>
          <w:rFonts w:ascii="宋体" w:hAnsi="宋体" w:eastAsia="宋体" w:cs="宋体"/>
          <w:kern w:val="0"/>
          <w:szCs w:val="21"/>
        </w:rPr>
      </w:pP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823" w:hRule="exact"/>
        </w:trPr>
        <w:tc>
          <w:tcPr>
            <w:tcW w:w="8124" w:type="dxa"/>
            <w:gridSpan w:val="4"/>
            <w:tcBorders>
              <w:top w:val="single" w:color="2B283F" w:sz="8" w:space="0"/>
              <w:left w:val="single" w:color="3B3B44" w:sz="6" w:space="0"/>
              <w:bottom w:val="single" w:color="64647C" w:sz="4" w:space="0"/>
              <w:right w:val="single" w:color="3B3B44" w:sz="8" w:space="0"/>
            </w:tcBorders>
            <w:vAlign w:val="center"/>
          </w:tcPr>
          <w:p>
            <w:pPr>
              <w:keepNext w:val="0"/>
              <w:keepLines w:val="0"/>
              <w:pageBreakBefore w:val="0"/>
              <w:tabs>
                <w:tab w:val="left" w:pos="1048"/>
              </w:tabs>
              <w:kinsoku/>
              <w:wordWrap/>
              <w:overflowPunct/>
              <w:topLinePunct w:val="0"/>
              <w:autoSpaceDE/>
              <w:autoSpaceDN/>
              <w:bidi w:val="0"/>
              <w:adjustRightInd/>
              <w:snapToGrid/>
              <w:spacing w:before="142" w:line="560" w:lineRule="exact"/>
              <w:ind w:right="1"/>
              <w:jc w:val="center"/>
              <w:textAlignment w:val="auto"/>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vAlign w:val="center"/>
          </w:tcPr>
          <w:p>
            <w:pPr>
              <w:keepNext w:val="0"/>
              <w:keepLines w:val="0"/>
              <w:pageBreakBefore w:val="0"/>
              <w:kinsoku/>
              <w:wordWrap/>
              <w:overflowPunct/>
              <w:topLinePunct w:val="0"/>
              <w:autoSpaceDE/>
              <w:autoSpaceDN/>
              <w:bidi w:val="0"/>
              <w:adjustRightInd/>
              <w:snapToGrid/>
              <w:spacing w:before="135" w:line="560" w:lineRule="exact"/>
              <w:ind w:right="27"/>
              <w:jc w:val="center"/>
              <w:textAlignment w:val="auto"/>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vAlign w:val="center"/>
          </w:tcPr>
          <w:p>
            <w:pPr>
              <w:keepNext w:val="0"/>
              <w:keepLines w:val="0"/>
              <w:pageBreakBefore w:val="0"/>
              <w:kinsoku/>
              <w:wordWrap/>
              <w:overflowPunct/>
              <w:topLinePunct w:val="0"/>
              <w:autoSpaceDE/>
              <w:autoSpaceDN/>
              <w:bidi w:val="0"/>
              <w:adjustRightInd/>
              <w:snapToGrid/>
              <w:spacing w:before="135" w:line="560" w:lineRule="exact"/>
              <w:ind w:left="216"/>
              <w:jc w:val="center"/>
              <w:textAlignment w:val="auto"/>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vAlign w:val="center"/>
          </w:tcPr>
          <w:p>
            <w:pPr>
              <w:keepNext w:val="0"/>
              <w:keepLines w:val="0"/>
              <w:pageBreakBefore w:val="0"/>
              <w:kinsoku/>
              <w:wordWrap/>
              <w:overflowPunct/>
              <w:topLinePunct w:val="0"/>
              <w:autoSpaceDE/>
              <w:autoSpaceDN/>
              <w:bidi w:val="0"/>
              <w:adjustRightInd/>
              <w:snapToGrid/>
              <w:spacing w:before="135" w:line="560" w:lineRule="exact"/>
              <w:ind w:left="275"/>
              <w:jc w:val="center"/>
              <w:textAlignment w:val="auto"/>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vAlign w:val="center"/>
          </w:tcPr>
          <w:p>
            <w:pPr>
              <w:keepNext w:val="0"/>
              <w:keepLines w:val="0"/>
              <w:pageBreakBefore w:val="0"/>
              <w:kinsoku/>
              <w:wordWrap/>
              <w:overflowPunct/>
              <w:topLinePunct w:val="0"/>
              <w:autoSpaceDE/>
              <w:autoSpaceDN/>
              <w:bidi w:val="0"/>
              <w:adjustRightInd/>
              <w:snapToGrid/>
              <w:spacing w:before="130" w:line="560" w:lineRule="exact"/>
              <w:jc w:val="center"/>
              <w:textAlignment w:val="auto"/>
              <w:rPr>
                <w:sz w:val="21"/>
                <w:lang w:eastAsia="zh-CN"/>
              </w:rPr>
            </w:pPr>
            <w:r>
              <w:rPr>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vAlign w:val="center"/>
          </w:tcPr>
          <w:p>
            <w:pPr>
              <w:keepNext w:val="0"/>
              <w:keepLines w:val="0"/>
              <w:pageBreakBefore w:val="0"/>
              <w:kinsoku/>
              <w:wordWrap/>
              <w:overflowPunct/>
              <w:topLinePunct w:val="0"/>
              <w:autoSpaceDE/>
              <w:autoSpaceDN/>
              <w:bidi w:val="0"/>
              <w:adjustRightInd/>
              <w:snapToGrid/>
              <w:spacing w:before="147" w:line="560" w:lineRule="exact"/>
              <w:ind w:left="93"/>
              <w:jc w:val="center"/>
              <w:textAlignment w:val="auto"/>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vAlign w:val="center"/>
          </w:tcPr>
          <w:p>
            <w:pPr>
              <w:keepNext w:val="0"/>
              <w:keepLines w:val="0"/>
              <w:pageBreakBefore w:val="0"/>
              <w:kinsoku/>
              <w:wordWrap/>
              <w:overflowPunct/>
              <w:topLinePunct w:val="0"/>
              <w:autoSpaceDE/>
              <w:autoSpaceDN/>
              <w:bidi w:val="0"/>
              <w:adjustRightInd/>
              <w:snapToGrid/>
              <w:spacing w:before="138" w:line="560" w:lineRule="exact"/>
              <w:ind w:left="93"/>
              <w:jc w:val="center"/>
              <w:textAlignment w:val="auto"/>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vAlign w:val="center"/>
          </w:tcPr>
          <w:p>
            <w:pPr>
              <w:keepNext w:val="0"/>
              <w:keepLines w:val="0"/>
              <w:pageBreakBefore w:val="0"/>
              <w:tabs>
                <w:tab w:val="left" w:pos="1049"/>
              </w:tabs>
              <w:kinsoku/>
              <w:wordWrap/>
              <w:overflowPunct/>
              <w:topLinePunct w:val="0"/>
              <w:autoSpaceDE/>
              <w:autoSpaceDN/>
              <w:bidi w:val="0"/>
              <w:adjustRightInd/>
              <w:snapToGrid/>
              <w:spacing w:before="140" w:line="560" w:lineRule="exact"/>
              <w:ind w:left="5"/>
              <w:jc w:val="center"/>
              <w:textAlignment w:val="auto"/>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vAlign w:val="center"/>
          </w:tcPr>
          <w:p>
            <w:pPr>
              <w:keepNext w:val="0"/>
              <w:keepLines w:val="0"/>
              <w:pageBreakBefore w:val="0"/>
              <w:kinsoku/>
              <w:wordWrap/>
              <w:overflowPunct/>
              <w:topLinePunct w:val="0"/>
              <w:autoSpaceDE/>
              <w:autoSpaceDN/>
              <w:bidi w:val="0"/>
              <w:adjustRightInd/>
              <w:snapToGrid/>
              <w:spacing w:before="138" w:line="560" w:lineRule="exact"/>
              <w:ind w:right="17"/>
              <w:jc w:val="center"/>
              <w:textAlignment w:val="auto"/>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before="142" w:line="560" w:lineRule="exact"/>
              <w:ind w:right="16"/>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vAlign w:val="center"/>
          </w:tcPr>
          <w:p>
            <w:pPr>
              <w:keepNext w:val="0"/>
              <w:keepLines w:val="0"/>
              <w:pageBreakBefore w:val="0"/>
              <w:kinsoku/>
              <w:wordWrap/>
              <w:overflowPunct/>
              <w:topLinePunct w:val="0"/>
              <w:autoSpaceDE/>
              <w:autoSpaceDN/>
              <w:bidi w:val="0"/>
              <w:adjustRightInd/>
              <w:snapToGrid/>
              <w:spacing w:before="140" w:line="560" w:lineRule="exact"/>
              <w:ind w:left="98"/>
              <w:jc w:val="center"/>
              <w:textAlignment w:val="auto"/>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vAlign w:val="center"/>
          </w:tcPr>
          <w:p>
            <w:pPr>
              <w:keepNext w:val="0"/>
              <w:keepLines w:val="0"/>
              <w:pageBreakBefore w:val="0"/>
              <w:tabs>
                <w:tab w:val="left" w:pos="1059"/>
              </w:tabs>
              <w:kinsoku/>
              <w:wordWrap/>
              <w:overflowPunct/>
              <w:topLinePunct w:val="0"/>
              <w:autoSpaceDE/>
              <w:autoSpaceDN/>
              <w:bidi w:val="0"/>
              <w:adjustRightInd/>
              <w:snapToGrid/>
              <w:spacing w:before="142" w:line="560" w:lineRule="exact"/>
              <w:ind w:left="15"/>
              <w:jc w:val="center"/>
              <w:textAlignment w:val="auto"/>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vAlign w:val="center"/>
          </w:tcPr>
          <w:p>
            <w:pPr>
              <w:keepNext w:val="0"/>
              <w:keepLines w:val="0"/>
              <w:pageBreakBefore w:val="0"/>
              <w:kinsoku/>
              <w:wordWrap/>
              <w:overflowPunct/>
              <w:topLinePunct w:val="0"/>
              <w:autoSpaceDE/>
              <w:autoSpaceDN/>
              <w:bidi w:val="0"/>
              <w:adjustRightInd/>
              <w:snapToGrid/>
              <w:spacing w:before="142" w:line="560" w:lineRule="exact"/>
              <w:ind w:right="8"/>
              <w:jc w:val="center"/>
              <w:textAlignment w:val="auto"/>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before="142" w:line="560" w:lineRule="exact"/>
              <w:ind w:right="13"/>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vAlign w:val="center"/>
          </w:tcPr>
          <w:p>
            <w:pPr>
              <w:keepNext w:val="0"/>
              <w:keepLines w:val="0"/>
              <w:pageBreakBefore w:val="0"/>
              <w:kinsoku/>
              <w:wordWrap/>
              <w:overflowPunct/>
              <w:topLinePunct w:val="0"/>
              <w:autoSpaceDE/>
              <w:autoSpaceDN/>
              <w:bidi w:val="0"/>
              <w:adjustRightInd/>
              <w:snapToGrid/>
              <w:spacing w:before="139" w:line="560" w:lineRule="exact"/>
              <w:ind w:left="102"/>
              <w:jc w:val="center"/>
              <w:textAlignment w:val="auto"/>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vAlign w:val="center"/>
          </w:tcPr>
          <w:p>
            <w:pPr>
              <w:keepNext w:val="0"/>
              <w:keepLines w:val="0"/>
              <w:pageBreakBefore w:val="0"/>
              <w:kinsoku/>
              <w:wordWrap/>
              <w:overflowPunct/>
              <w:topLinePunct w:val="0"/>
              <w:autoSpaceDE/>
              <w:autoSpaceDN/>
              <w:bidi w:val="0"/>
              <w:adjustRightInd/>
              <w:snapToGrid/>
              <w:spacing w:before="138" w:line="560" w:lineRule="exact"/>
              <w:ind w:left="107"/>
              <w:jc w:val="center"/>
              <w:textAlignment w:val="auto"/>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vAlign w:val="center"/>
          </w:tcPr>
          <w:p>
            <w:pPr>
              <w:keepNext w:val="0"/>
              <w:keepLines w:val="0"/>
              <w:pageBreakBefore w:val="0"/>
              <w:tabs>
                <w:tab w:val="left" w:pos="1068"/>
              </w:tabs>
              <w:kinsoku/>
              <w:wordWrap/>
              <w:overflowPunct/>
              <w:topLinePunct w:val="0"/>
              <w:autoSpaceDE/>
              <w:autoSpaceDN/>
              <w:bidi w:val="0"/>
              <w:adjustRightInd/>
              <w:snapToGrid/>
              <w:spacing w:before="142" w:line="560" w:lineRule="exact"/>
              <w:ind w:left="25"/>
              <w:jc w:val="center"/>
              <w:textAlignment w:val="auto"/>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35" w:line="560" w:lineRule="exact"/>
              <w:ind w:right="1"/>
              <w:jc w:val="center"/>
              <w:textAlignment w:val="auto"/>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45" w:line="560" w:lineRule="exact"/>
              <w:ind w:left="1446"/>
              <w:jc w:val="center"/>
              <w:textAlignment w:val="auto"/>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vAlign w:val="center"/>
          </w:tcPr>
          <w:p>
            <w:pPr>
              <w:keepNext w:val="0"/>
              <w:keepLines w:val="0"/>
              <w:pageBreakBefore w:val="0"/>
              <w:kinsoku/>
              <w:wordWrap/>
              <w:overflowPunct/>
              <w:topLinePunct w:val="0"/>
              <w:autoSpaceDE/>
              <w:autoSpaceDN/>
              <w:bidi w:val="0"/>
              <w:adjustRightInd/>
              <w:snapToGrid/>
              <w:spacing w:before="138" w:line="560" w:lineRule="exact"/>
              <w:ind w:left="107"/>
              <w:jc w:val="center"/>
              <w:textAlignment w:val="auto"/>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21"/>
                <w:lang w:val="en-US" w:eastAsia="zh-CN"/>
              </w:rPr>
            </w:pPr>
            <w:r>
              <w:rPr>
                <w:rFonts w:hint="eastAsia"/>
                <w:sz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（本列数据的勾稽关系为：第一项加第二项之和，等于第三项加第四项之和）</w:t>
            </w:r>
          </w:p>
        </w:tc>
        <w:tc>
          <w:tcPr>
            <w:tcW w:w="4685" w:type="dxa"/>
            <w:gridSpan w:val="7"/>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55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 w:val="18"/>
                <w:szCs w:val="18"/>
              </w:rPr>
            </w:pPr>
            <w:r>
              <w:rPr>
                <w:rFonts w:hint="eastAsia"/>
                <w:szCs w:val="21"/>
              </w:rPr>
              <w:t>自然人</w:t>
            </w:r>
          </w:p>
        </w:tc>
        <w:tc>
          <w:tcPr>
            <w:tcW w:w="3466"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法人或其他组织</w:t>
            </w:r>
          </w:p>
        </w:tc>
        <w:tc>
          <w:tcPr>
            <w:tcW w:w="665"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sz w:val="18"/>
                <w:szCs w:val="18"/>
              </w:rPr>
            </w:pP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商业企业</w:t>
            </w:r>
          </w:p>
        </w:tc>
        <w:tc>
          <w:tcPr>
            <w:tcW w:w="692"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科研机构</w:t>
            </w: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社会公益组织</w:t>
            </w: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法律服务机构</w:t>
            </w:r>
          </w:p>
        </w:tc>
        <w:tc>
          <w:tcPr>
            <w:tcW w:w="695"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r>
              <w:rPr>
                <w:rFonts w:hint="eastAsia"/>
                <w:szCs w:val="21"/>
              </w:rPr>
              <w:t>其他</w:t>
            </w:r>
          </w:p>
        </w:tc>
        <w:tc>
          <w:tcPr>
            <w:tcW w:w="66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一、本年新收政府信息公开申请数量</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Cs w:val="21"/>
                <w:lang w:val="en-US" w:eastAsia="zh-CN"/>
              </w:rPr>
            </w:pPr>
            <w:r>
              <w:rPr>
                <w:rFonts w:hint="eastAsia"/>
                <w:szCs w:val="21"/>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二、上年结转政府信息公开申请数量</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三、本年度办理结果</w:t>
            </w:r>
          </w:p>
        </w:tc>
        <w:tc>
          <w:tcPr>
            <w:tcW w:w="4159" w:type="dxa"/>
            <w:gridSpan w:val="2"/>
          </w:tcPr>
          <w:p>
            <w:pPr>
              <w:keepNext w:val="0"/>
              <w:keepLines w:val="0"/>
              <w:pageBreakBefore w:val="0"/>
              <w:kinsoku/>
              <w:wordWrap/>
              <w:overflowPunct/>
              <w:topLinePunct w:val="0"/>
              <w:autoSpaceDE/>
              <w:autoSpaceDN/>
              <w:bidi w:val="0"/>
              <w:adjustRightInd/>
              <w:snapToGrid/>
              <w:spacing w:line="560" w:lineRule="exact"/>
              <w:textAlignment w:val="auto"/>
              <w:rPr>
                <w:rFonts w:asciiTheme="minorEastAsia" w:hAnsiTheme="minorEastAsia"/>
                <w:sz w:val="18"/>
                <w:szCs w:val="18"/>
              </w:rPr>
            </w:pPr>
            <w:r>
              <w:rPr>
                <w:rFonts w:hint="eastAsia"/>
              </w:rPr>
              <w:t>（一）予以公开</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4159" w:type="dxa"/>
            <w:gridSpan w:val="2"/>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（二）部分公开（区分处理的，只计这一情形，不计其他情形）</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（三）不予公开</w:t>
            </w: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1．属于国家秘密</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2．其他法律行政法规禁止公开</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3．危及“三安全一稳定”</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4．保护第三方合法权益</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5．属于三类内部事务信息</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6．属于四类过程性信息</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7．属于行政执法案卷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8．属于行政查询事项</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（四）无法提供</w:t>
            </w: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1．本机关不掌握相关政府信息</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2．没有现成信息需要另行制作</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3．补正后申请内容仍不明确</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（五）不予处理</w:t>
            </w: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1．信访举报投诉类申请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2．重复申请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3．要求提供公开出版物</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4．无正当理由大量反复申请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5．要求行政机关确认或重新出具已获取信息</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（六）其他处理</w:t>
            </w: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1.申请人无正当理由逾期不补正、行政机关不再处理其政府信息公开申请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2.申请人逾期未按收费通知 要求缴纳费用、行政机关不再处理其政府信息公开申请</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tc>
        <w:tc>
          <w:tcPr>
            <w:tcW w:w="2634"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3.其他</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560" w:lineRule="exact"/>
              <w:textAlignment w:val="auto"/>
            </w:pPr>
          </w:p>
        </w:tc>
        <w:tc>
          <w:tcPr>
            <w:tcW w:w="4159"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（七）总计</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四、结转下年度继续办理</w:t>
            </w:r>
          </w:p>
        </w:tc>
        <w:tc>
          <w:tcPr>
            <w:tcW w:w="554"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3"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6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3207"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行政复议</w:t>
            </w:r>
          </w:p>
        </w:tc>
        <w:tc>
          <w:tcPr>
            <w:tcW w:w="6505" w:type="dxa"/>
            <w:gridSpan w:val="1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结果维持</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其他结果</w:t>
            </w:r>
          </w:p>
        </w:tc>
        <w:tc>
          <w:tcPr>
            <w:tcW w:w="706"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尚未审结</w:t>
            </w:r>
          </w:p>
        </w:tc>
        <w:tc>
          <w:tcPr>
            <w:tcW w:w="428"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总计</w:t>
            </w:r>
          </w:p>
        </w:tc>
        <w:tc>
          <w:tcPr>
            <w:tcW w:w="3260"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未经复议直接起诉</w:t>
            </w:r>
          </w:p>
        </w:tc>
        <w:tc>
          <w:tcPr>
            <w:tcW w:w="3245"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 w:val="18"/>
                <w:szCs w:val="18"/>
              </w:rPr>
            </w:pPr>
          </w:p>
        </w:tc>
        <w:tc>
          <w:tcPr>
            <w:tcW w:w="706"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p>
        </w:tc>
        <w:tc>
          <w:tcPr>
            <w:tcW w:w="428"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总计</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结果维持</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其他结果</w:t>
            </w:r>
          </w:p>
        </w:tc>
        <w:tc>
          <w:tcPr>
            <w:tcW w:w="6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42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6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Theme="minorEastAsia"/>
                <w:szCs w:val="21"/>
                <w:lang w:val="en-US" w:eastAsia="zh-CN"/>
              </w:rPr>
            </w:pPr>
            <w:r>
              <w:rPr>
                <w:rFonts w:hint="eastAsia"/>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eastAsia="zh-CN"/>
        </w:rPr>
        <w:t>（</w:t>
      </w:r>
      <w:r>
        <w:rPr>
          <w:rFonts w:hint="eastAsia" w:ascii="楷体_GB2312" w:hAnsi="楷体_GB2312" w:eastAsia="楷体_GB2312" w:cs="楷体_GB2312"/>
          <w:sz w:val="32"/>
          <w:szCs w:val="32"/>
          <w:lang w:val="en-US" w:eastAsia="zh-CN"/>
        </w:rPr>
        <w:t>一）主要问题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val="en-US" w:eastAsia="zh-CN"/>
        </w:rPr>
        <w:t>一</w:t>
      </w:r>
      <w:r>
        <w:rPr>
          <w:rFonts w:hint="eastAsia" w:ascii="仿宋_GB2312" w:hAnsi="仿宋_GB2312" w:eastAsia="仿宋_GB2312" w:cs="仿宋_GB2312"/>
          <w:i w:val="0"/>
          <w:caps w:val="0"/>
          <w:color w:val="000000"/>
          <w:spacing w:val="0"/>
          <w:sz w:val="32"/>
          <w:szCs w:val="32"/>
          <w:shd w:val="clear" w:fill="FFFFFF"/>
        </w:rPr>
        <w:t>是</w:t>
      </w:r>
      <w:r>
        <w:rPr>
          <w:rFonts w:hint="eastAsia" w:ascii="仿宋_GB2312" w:hAnsi="仿宋_GB2312" w:eastAsia="仿宋_GB2312" w:cs="仿宋_GB2312"/>
          <w:i w:val="0"/>
          <w:caps w:val="0"/>
          <w:color w:val="000000"/>
          <w:spacing w:val="0"/>
          <w:sz w:val="32"/>
          <w:szCs w:val="32"/>
          <w:shd w:val="clear" w:fill="FFFFFF"/>
          <w:lang w:val="en-US" w:eastAsia="zh-CN"/>
        </w:rPr>
        <w:t>信息公开内容的</w:t>
      </w:r>
      <w:r>
        <w:rPr>
          <w:rFonts w:hint="eastAsia" w:ascii="仿宋_GB2312" w:hAnsi="仿宋_GB2312" w:eastAsia="仿宋_GB2312" w:cs="仿宋_GB2312"/>
          <w:i w:val="0"/>
          <w:caps w:val="0"/>
          <w:color w:val="auto"/>
          <w:spacing w:val="0"/>
          <w:sz w:val="32"/>
          <w:szCs w:val="32"/>
          <w:shd w:val="clear" w:fill="FFFFFF"/>
        </w:rPr>
        <w:t>时效</w:t>
      </w:r>
      <w:r>
        <w:rPr>
          <w:rFonts w:hint="eastAsia" w:ascii="仿宋_GB2312" w:hAnsi="仿宋_GB2312" w:eastAsia="仿宋_GB2312" w:cs="仿宋_GB2312"/>
          <w:i w:val="0"/>
          <w:caps w:val="0"/>
          <w:color w:val="auto"/>
          <w:spacing w:val="0"/>
          <w:sz w:val="32"/>
          <w:szCs w:val="32"/>
          <w:shd w:val="clear" w:fill="FFFFFF"/>
          <w:lang w:val="en-US" w:eastAsia="zh-CN"/>
        </w:rPr>
        <w:t>性</w:t>
      </w:r>
      <w:r>
        <w:rPr>
          <w:rFonts w:hint="eastAsia" w:ascii="仿宋_GB2312" w:hAnsi="仿宋_GB2312" w:eastAsia="仿宋_GB2312" w:cs="仿宋_GB2312"/>
          <w:i w:val="0"/>
          <w:caps w:val="0"/>
          <w:color w:val="000000"/>
          <w:spacing w:val="0"/>
          <w:sz w:val="32"/>
          <w:szCs w:val="32"/>
          <w:shd w:val="clear" w:fill="FFFFFF"/>
        </w:rPr>
        <w:t>有待</w:t>
      </w:r>
      <w:r>
        <w:rPr>
          <w:rFonts w:hint="eastAsia" w:ascii="仿宋_GB2312" w:hAnsi="仿宋_GB2312" w:eastAsia="仿宋_GB2312" w:cs="仿宋_GB2312"/>
          <w:i w:val="0"/>
          <w:caps w:val="0"/>
          <w:color w:val="000000"/>
          <w:spacing w:val="0"/>
          <w:sz w:val="32"/>
          <w:szCs w:val="32"/>
          <w:shd w:val="clear" w:fill="FFFFFF"/>
          <w:lang w:val="en-US" w:eastAsia="zh-CN"/>
        </w:rPr>
        <w:t>提升</w:t>
      </w:r>
      <w:r>
        <w:rPr>
          <w:rFonts w:hint="eastAsia" w:ascii="仿宋_GB2312" w:hAnsi="仿宋_GB2312" w:eastAsia="仿宋_GB2312" w:cs="仿宋_GB2312"/>
          <w:i w:val="0"/>
          <w:caps w:val="0"/>
          <w:color w:val="000000"/>
          <w:spacing w:val="0"/>
          <w:sz w:val="32"/>
          <w:szCs w:val="32"/>
          <w:shd w:val="clear" w:fill="FFFFFF"/>
        </w:rPr>
        <w:t>。政府机关提供</w:t>
      </w:r>
      <w:r>
        <w:rPr>
          <w:rFonts w:hint="eastAsia" w:ascii="仿宋_GB2312" w:hAnsi="仿宋_GB2312" w:eastAsia="仿宋_GB2312" w:cs="仿宋_GB2312"/>
          <w:i w:val="0"/>
          <w:caps w:val="0"/>
          <w:color w:val="000000"/>
          <w:spacing w:val="0"/>
          <w:sz w:val="32"/>
          <w:szCs w:val="32"/>
          <w:shd w:val="clear" w:fill="FFFFFF"/>
          <w:lang w:val="en-US" w:eastAsia="zh-CN"/>
        </w:rPr>
        <w:t>的</w:t>
      </w:r>
      <w:r>
        <w:rPr>
          <w:rFonts w:hint="eastAsia" w:ascii="仿宋_GB2312" w:hAnsi="仿宋_GB2312" w:eastAsia="仿宋_GB2312" w:cs="仿宋_GB2312"/>
          <w:i w:val="0"/>
          <w:caps w:val="0"/>
          <w:color w:val="000000"/>
          <w:spacing w:val="0"/>
          <w:sz w:val="32"/>
          <w:szCs w:val="32"/>
          <w:shd w:val="clear" w:fill="FFFFFF"/>
        </w:rPr>
        <w:t>信息</w:t>
      </w:r>
      <w:r>
        <w:rPr>
          <w:rFonts w:hint="eastAsia" w:ascii="仿宋_GB2312" w:hAnsi="仿宋_GB2312" w:eastAsia="仿宋_GB2312" w:cs="仿宋_GB2312"/>
          <w:i w:val="0"/>
          <w:caps w:val="0"/>
          <w:color w:val="000000"/>
          <w:spacing w:val="0"/>
          <w:sz w:val="32"/>
          <w:szCs w:val="32"/>
          <w:shd w:val="clear" w:fill="FFFFFF"/>
          <w:lang w:val="en-US" w:eastAsia="zh-CN"/>
        </w:rPr>
        <w:t>与</w:t>
      </w:r>
      <w:r>
        <w:rPr>
          <w:rFonts w:hint="eastAsia" w:ascii="仿宋_GB2312" w:hAnsi="仿宋_GB2312" w:eastAsia="仿宋_GB2312" w:cs="仿宋_GB2312"/>
          <w:i w:val="0"/>
          <w:caps w:val="0"/>
          <w:color w:val="000000"/>
          <w:spacing w:val="0"/>
          <w:sz w:val="32"/>
          <w:szCs w:val="32"/>
          <w:shd w:val="clear" w:fill="FFFFFF"/>
        </w:rPr>
        <w:t>群众真正想要</w:t>
      </w:r>
      <w:r>
        <w:rPr>
          <w:rFonts w:hint="eastAsia" w:ascii="仿宋_GB2312" w:hAnsi="仿宋_GB2312" w:eastAsia="仿宋_GB2312" w:cs="仿宋_GB2312"/>
          <w:i w:val="0"/>
          <w:caps w:val="0"/>
          <w:color w:val="000000"/>
          <w:spacing w:val="0"/>
          <w:sz w:val="32"/>
          <w:szCs w:val="32"/>
          <w:shd w:val="clear" w:fill="FFFFFF"/>
          <w:lang w:val="en-US" w:eastAsia="zh-CN"/>
        </w:rPr>
        <w:t>或即时想要</w:t>
      </w:r>
      <w:r>
        <w:rPr>
          <w:rFonts w:hint="eastAsia" w:ascii="仿宋_GB2312" w:hAnsi="仿宋_GB2312" w:eastAsia="仿宋_GB2312" w:cs="仿宋_GB2312"/>
          <w:i w:val="0"/>
          <w:caps w:val="0"/>
          <w:color w:val="000000"/>
          <w:spacing w:val="0"/>
          <w:sz w:val="32"/>
          <w:szCs w:val="32"/>
          <w:shd w:val="clear" w:fill="FFFFFF"/>
        </w:rPr>
        <w:t>的信息</w:t>
      </w:r>
      <w:r>
        <w:rPr>
          <w:rFonts w:hint="eastAsia" w:ascii="仿宋_GB2312" w:hAnsi="仿宋_GB2312" w:eastAsia="仿宋_GB2312" w:cs="仿宋_GB2312"/>
          <w:i w:val="0"/>
          <w:caps w:val="0"/>
          <w:color w:val="000000"/>
          <w:spacing w:val="0"/>
          <w:sz w:val="32"/>
          <w:szCs w:val="32"/>
          <w:shd w:val="clear" w:fill="FFFFFF"/>
          <w:lang w:val="en-US" w:eastAsia="zh-CN"/>
        </w:rPr>
        <w:t>之间存在着不连贯、不匹配的错位问题，及时精准地回应群众关切问题</w:t>
      </w:r>
      <w:r>
        <w:rPr>
          <w:rFonts w:hint="eastAsia" w:ascii="仿宋_GB2312" w:hAnsi="仿宋_GB2312" w:eastAsia="仿宋_GB2312" w:cs="仿宋_GB2312"/>
          <w:i w:val="0"/>
          <w:caps w:val="0"/>
          <w:color w:val="000000"/>
          <w:spacing w:val="0"/>
          <w:sz w:val="32"/>
          <w:szCs w:val="32"/>
          <w:shd w:val="clear" w:fill="FFFFFF"/>
        </w:rPr>
        <w:t>的能力有待进一步提升</w:t>
      </w:r>
      <w:r>
        <w:rPr>
          <w:rFonts w:hint="eastAsia" w:ascii="仿宋_GB2312" w:hAnsi="仿宋_GB2312" w:eastAsia="仿宋_GB2312" w:cs="仿宋_GB2312"/>
          <w:i w:val="0"/>
          <w:caps w:val="0"/>
          <w:color w:val="000000"/>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二</w:t>
      </w:r>
      <w:r>
        <w:rPr>
          <w:rFonts w:hint="eastAsia" w:ascii="仿宋_GB2312" w:hAnsi="仿宋_GB2312" w:eastAsia="仿宋_GB2312" w:cs="仿宋_GB2312"/>
          <w:i w:val="0"/>
          <w:caps w:val="0"/>
          <w:color w:val="000000"/>
          <w:spacing w:val="0"/>
          <w:sz w:val="32"/>
          <w:szCs w:val="32"/>
          <w:shd w:val="clear" w:fill="FFFFFF"/>
        </w:rPr>
        <w:t>是信息公开内容</w:t>
      </w:r>
      <w:r>
        <w:rPr>
          <w:rFonts w:hint="eastAsia" w:ascii="仿宋_GB2312" w:hAnsi="仿宋_GB2312" w:eastAsia="仿宋_GB2312" w:cs="仿宋_GB2312"/>
          <w:i w:val="0"/>
          <w:caps w:val="0"/>
          <w:color w:val="000000"/>
          <w:spacing w:val="0"/>
          <w:sz w:val="32"/>
          <w:szCs w:val="32"/>
          <w:shd w:val="clear" w:fill="FFFFFF"/>
          <w:lang w:val="en-US" w:eastAsia="zh-CN"/>
        </w:rPr>
        <w:t>的覆盖面</w:t>
      </w:r>
      <w:r>
        <w:rPr>
          <w:rFonts w:hint="eastAsia" w:ascii="仿宋_GB2312" w:hAnsi="仿宋_GB2312" w:eastAsia="仿宋_GB2312" w:cs="仿宋_GB2312"/>
          <w:i w:val="0"/>
          <w:caps w:val="0"/>
          <w:color w:val="000000"/>
          <w:spacing w:val="0"/>
          <w:sz w:val="32"/>
          <w:szCs w:val="32"/>
          <w:shd w:val="clear" w:fill="FFFFFF"/>
        </w:rPr>
        <w:t>有待</w:t>
      </w:r>
      <w:r>
        <w:rPr>
          <w:rFonts w:hint="eastAsia" w:ascii="仿宋_GB2312" w:hAnsi="仿宋_GB2312" w:eastAsia="仿宋_GB2312" w:cs="仿宋_GB2312"/>
          <w:i w:val="0"/>
          <w:caps w:val="0"/>
          <w:color w:val="000000"/>
          <w:spacing w:val="0"/>
          <w:sz w:val="32"/>
          <w:szCs w:val="32"/>
          <w:shd w:val="clear" w:fill="FFFFFF"/>
          <w:lang w:val="en-US" w:eastAsia="zh-CN"/>
        </w:rPr>
        <w:t>进一步拓展。因所处乡镇地区，信息</w:t>
      </w:r>
      <w:r>
        <w:rPr>
          <w:rFonts w:hint="eastAsia" w:ascii="仿宋_GB2312" w:hAnsi="仿宋_GB2312" w:eastAsia="仿宋_GB2312" w:cs="仿宋_GB2312"/>
          <w:i w:val="0"/>
          <w:caps w:val="0"/>
          <w:color w:val="000000"/>
          <w:spacing w:val="0"/>
          <w:sz w:val="32"/>
          <w:szCs w:val="32"/>
          <w:shd w:val="clear" w:fill="FFFFFF"/>
        </w:rPr>
        <w:t>公开形式</w:t>
      </w:r>
      <w:r>
        <w:rPr>
          <w:rFonts w:hint="eastAsia" w:ascii="仿宋_GB2312" w:hAnsi="仿宋_GB2312" w:eastAsia="仿宋_GB2312" w:cs="仿宋_GB2312"/>
          <w:i w:val="0"/>
          <w:caps w:val="0"/>
          <w:color w:val="000000"/>
          <w:spacing w:val="0"/>
          <w:sz w:val="32"/>
          <w:szCs w:val="32"/>
          <w:shd w:val="clear" w:fill="FFFFFF"/>
          <w:lang w:val="en-US" w:eastAsia="zh-CN"/>
        </w:rPr>
        <w:t>不完善，与部分群众之间缺乏有效的信息公开交流桥梁，同时信息公开内容的广度及深度</w:t>
      </w:r>
      <w:r>
        <w:rPr>
          <w:rFonts w:hint="eastAsia" w:ascii="仿宋_GB2312" w:hAnsi="仿宋_GB2312" w:eastAsia="仿宋_GB2312" w:cs="仿宋_GB2312"/>
          <w:i w:val="0"/>
          <w:caps w:val="0"/>
          <w:color w:val="000000"/>
          <w:spacing w:val="0"/>
          <w:sz w:val="32"/>
          <w:szCs w:val="32"/>
          <w:shd w:val="clear" w:fill="FFFFFF"/>
        </w:rPr>
        <w:t>有待进一步</w:t>
      </w:r>
      <w:r>
        <w:rPr>
          <w:rFonts w:hint="eastAsia" w:ascii="仿宋_GB2312" w:hAnsi="仿宋_GB2312" w:eastAsia="仿宋_GB2312" w:cs="仿宋_GB2312"/>
          <w:i w:val="0"/>
          <w:caps w:val="0"/>
          <w:color w:val="000000"/>
          <w:spacing w:val="0"/>
          <w:sz w:val="32"/>
          <w:szCs w:val="32"/>
          <w:shd w:val="clear" w:fill="FFFFFF"/>
          <w:lang w:val="en-US" w:eastAsia="zh-CN"/>
        </w:rPr>
        <w:t>精进</w:t>
      </w:r>
      <w:r>
        <w:rPr>
          <w:rFonts w:hint="eastAsia" w:ascii="仿宋_GB2312" w:hAnsi="仿宋_GB2312" w:eastAsia="仿宋_GB2312" w:cs="仿宋_GB2312"/>
          <w:i w:val="0"/>
          <w:caps w:val="0"/>
          <w:color w:val="000000"/>
          <w:spacing w:val="0"/>
          <w:sz w:val="32"/>
          <w:szCs w:val="32"/>
          <w:shd w:val="clear" w:fill="FFFFFF"/>
        </w:rPr>
        <w:t>。</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（二）改进措施</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一</w:t>
      </w:r>
      <w:r>
        <w:rPr>
          <w:rFonts w:hint="default" w:ascii="仿宋_GB2312" w:hAnsi="仿宋_GB2312" w:eastAsia="仿宋_GB2312" w:cs="仿宋_GB2312"/>
          <w:i w:val="0"/>
          <w:caps w:val="0"/>
          <w:color w:val="000000"/>
          <w:spacing w:val="0"/>
          <w:sz w:val="32"/>
          <w:szCs w:val="32"/>
          <w:shd w:val="clear" w:fill="FFFFFF"/>
          <w:lang w:val="en-US" w:eastAsia="zh-CN"/>
        </w:rPr>
        <w:t>是着力提升信息公开</w:t>
      </w:r>
      <w:r>
        <w:rPr>
          <w:rFonts w:hint="eastAsia" w:ascii="仿宋_GB2312" w:hAnsi="仿宋_GB2312" w:eastAsia="仿宋_GB2312" w:cs="仿宋_GB2312"/>
          <w:i w:val="0"/>
          <w:caps w:val="0"/>
          <w:color w:val="000000"/>
          <w:spacing w:val="0"/>
          <w:sz w:val="32"/>
          <w:szCs w:val="32"/>
          <w:shd w:val="clear" w:fill="FFFFFF"/>
          <w:lang w:val="en-US" w:eastAsia="zh-CN"/>
        </w:rPr>
        <w:t>工作内容的</w:t>
      </w:r>
      <w:r>
        <w:rPr>
          <w:rFonts w:hint="default" w:ascii="仿宋_GB2312" w:hAnsi="仿宋_GB2312" w:eastAsia="仿宋_GB2312" w:cs="仿宋_GB2312"/>
          <w:i w:val="0"/>
          <w:caps w:val="0"/>
          <w:color w:val="000000"/>
          <w:spacing w:val="0"/>
          <w:sz w:val="32"/>
          <w:szCs w:val="32"/>
          <w:shd w:val="clear" w:fill="FFFFFF"/>
          <w:lang w:val="en-US" w:eastAsia="zh-CN"/>
        </w:rPr>
        <w:t>实效。</w:t>
      </w:r>
      <w:r>
        <w:rPr>
          <w:rFonts w:hint="eastAsia" w:ascii="仿宋_GB2312" w:hAnsi="仿宋_GB2312" w:eastAsia="仿宋_GB2312" w:cs="仿宋_GB2312"/>
          <w:i w:val="0"/>
          <w:caps w:val="0"/>
          <w:color w:val="000000"/>
          <w:spacing w:val="0"/>
          <w:sz w:val="32"/>
          <w:szCs w:val="32"/>
          <w:shd w:val="clear" w:fill="FFFFFF"/>
          <w:lang w:val="en-US" w:eastAsia="zh-CN"/>
        </w:rPr>
        <w:t>加强对相关业务工作人员的培训，严格工作制度，规范工作流程，大力提升与人民群众密切相关问题的实时收录及处理等办事效率；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二是着力增进信息公开内容的深度及覆盖广度。</w:t>
      </w:r>
      <w:r>
        <w:rPr>
          <w:rFonts w:hint="default" w:ascii="仿宋_GB2312" w:hAnsi="仿宋_GB2312" w:eastAsia="仿宋_GB2312" w:cs="仿宋_GB2312"/>
          <w:i w:val="0"/>
          <w:caps w:val="0"/>
          <w:color w:val="000000"/>
          <w:spacing w:val="0"/>
          <w:sz w:val="32"/>
          <w:szCs w:val="32"/>
          <w:shd w:val="clear" w:fill="FFFFFF"/>
          <w:lang w:val="en-US" w:eastAsia="zh-CN"/>
        </w:rPr>
        <w:t>加大对政府重点工作、重要决策部署、重大改革措施的解读力度，及时关注舆情</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default" w:ascii="仿宋_GB2312" w:hAnsi="仿宋_GB2312" w:eastAsia="仿宋_GB2312" w:cs="仿宋_GB2312"/>
          <w:i w:val="0"/>
          <w:caps w:val="0"/>
          <w:color w:val="000000"/>
          <w:spacing w:val="0"/>
          <w:sz w:val="32"/>
          <w:szCs w:val="32"/>
          <w:shd w:val="clear" w:fill="FFFFFF"/>
          <w:lang w:val="en-US" w:eastAsia="zh-CN"/>
        </w:rPr>
        <w:t>进一步深化群众关注的重点领域信息公开，</w:t>
      </w:r>
      <w:r>
        <w:rPr>
          <w:rFonts w:hint="eastAsia" w:ascii="仿宋_GB2312" w:hAnsi="仿宋_GB2312" w:eastAsia="仿宋_GB2312" w:cs="仿宋_GB2312"/>
          <w:i w:val="0"/>
          <w:caps w:val="0"/>
          <w:color w:val="000000"/>
          <w:spacing w:val="0"/>
          <w:sz w:val="32"/>
          <w:szCs w:val="32"/>
          <w:shd w:val="clear" w:fill="FFFFFF"/>
          <w:lang w:val="en-US" w:eastAsia="zh-CN"/>
        </w:rPr>
        <w:t>同时加强对部分群众</w:t>
      </w:r>
      <w:r>
        <w:rPr>
          <w:rFonts w:hint="eastAsia" w:ascii="仿宋_GB2312" w:hAnsi="仿宋_GB2312" w:eastAsia="仿宋_GB2312" w:cs="仿宋_GB2312"/>
          <w:i w:val="0"/>
          <w:caps w:val="0"/>
          <w:color w:val="000000"/>
          <w:spacing w:val="0"/>
          <w:sz w:val="32"/>
          <w:szCs w:val="32"/>
          <w:shd w:val="clear" w:fill="FFFFFF"/>
        </w:rPr>
        <w:t>政策措施通俗化解读工作</w:t>
      </w:r>
      <w:r>
        <w:rPr>
          <w:rFonts w:hint="eastAsia" w:ascii="仿宋_GB2312" w:hAnsi="仿宋_GB2312" w:eastAsia="仿宋_GB2312" w:cs="仿宋_GB2312"/>
          <w:i w:val="0"/>
          <w:caps w:val="0"/>
          <w:color w:val="000000"/>
          <w:spacing w:val="0"/>
          <w:sz w:val="32"/>
          <w:szCs w:val="32"/>
          <w:shd w:val="clear" w:fill="FFFFFF"/>
          <w:lang w:val="en-US" w:eastAsia="zh-CN"/>
        </w:rPr>
        <w:t>的开展</w:t>
      </w:r>
      <w:r>
        <w:rPr>
          <w:rFonts w:hint="eastAsia" w:ascii="仿宋_GB2312" w:hAnsi="仿宋_GB2312" w:eastAsia="仿宋_GB2312" w:cs="仿宋_GB2312"/>
          <w:i w:val="0"/>
          <w:caps w:val="0"/>
          <w:color w:val="000000"/>
          <w:spacing w:val="0"/>
          <w:sz w:val="32"/>
          <w:szCs w:val="32"/>
          <w:shd w:val="clear" w:fill="FFFFFF"/>
          <w:lang w:eastAsia="zh-CN"/>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本年度我镇暂无其他需要报告的事项。</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金岭回族镇人民政府</w:t>
      </w: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i w:val="0"/>
          <w:caps w:val="0"/>
          <w:color w:val="000000"/>
          <w:spacing w:val="0"/>
          <w:sz w:val="32"/>
          <w:szCs w:val="32"/>
          <w:shd w:val="clear" w:fill="FFFFFF"/>
          <w:lang w:val="en-US" w:eastAsia="zh-CN"/>
        </w:rPr>
      </w:pPr>
      <w:bookmarkStart w:id="0" w:name="_GoBack"/>
      <w:bookmarkEnd w:id="0"/>
      <w:r>
        <w:rPr>
          <w:rFonts w:hint="eastAsia" w:ascii="仿宋_GB2312" w:hAnsi="仿宋_GB2312" w:eastAsia="仿宋_GB2312" w:cs="仿宋_GB2312"/>
          <w:i w:val="0"/>
          <w:caps w:val="0"/>
          <w:color w:val="000000"/>
          <w:spacing w:val="0"/>
          <w:sz w:val="32"/>
          <w:szCs w:val="32"/>
          <w:shd w:val="clear" w:fill="FFFFFF"/>
          <w:lang w:val="en-US" w:eastAsia="zh-CN"/>
        </w:rPr>
        <w:t>2022年1月13日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FC485"/>
    <w:multiLevelType w:val="singleLevel"/>
    <w:tmpl w:val="159FC485"/>
    <w:lvl w:ilvl="0" w:tentative="0">
      <w:start w:val="6"/>
      <w:numFmt w:val="chineseCounting"/>
      <w:suff w:val="nothing"/>
      <w:lvlText w:val="%1、"/>
      <w:lvlJc w:val="left"/>
      <w:rPr>
        <w:rFonts w:hint="eastAsia"/>
      </w:rPr>
    </w:lvl>
  </w:abstractNum>
  <w:abstractNum w:abstractNumId="1">
    <w:nsid w:val="595C33E4"/>
    <w:multiLevelType w:val="singleLevel"/>
    <w:tmpl w:val="595C33E4"/>
    <w:lvl w:ilvl="0" w:tentative="0">
      <w:start w:val="1"/>
      <w:numFmt w:val="chineseCounting"/>
      <w:suff w:val="nothing"/>
      <w:lvlText w:val="%1、"/>
      <w:lvlJc w:val="left"/>
      <w:pPr>
        <w:ind w:left="640" w:leftChars="0" w:firstLine="0" w:firstLineChars="0"/>
      </w:pPr>
      <w:rPr>
        <w:rFonts w:hint="eastAsia"/>
      </w:rPr>
    </w:lvl>
  </w:abstractNum>
  <w:abstractNum w:abstractNumId="2">
    <w:nsid w:val="7D493074"/>
    <w:multiLevelType w:val="singleLevel"/>
    <w:tmpl w:val="7D49307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71156ED"/>
    <w:rsid w:val="072B44DB"/>
    <w:rsid w:val="12BC0BE4"/>
    <w:rsid w:val="190621AE"/>
    <w:rsid w:val="1E772DB2"/>
    <w:rsid w:val="35575D61"/>
    <w:rsid w:val="3AD567C5"/>
    <w:rsid w:val="45132237"/>
    <w:rsid w:val="4815297A"/>
    <w:rsid w:val="4DE93206"/>
    <w:rsid w:val="4EC112CB"/>
    <w:rsid w:val="597204BD"/>
    <w:rsid w:val="5F8A2368"/>
    <w:rsid w:val="6157197C"/>
    <w:rsid w:val="6B845D32"/>
    <w:rsid w:val="6C921DB2"/>
    <w:rsid w:val="6DFB3DB9"/>
    <w:rsid w:val="6EE92EAA"/>
    <w:rsid w:val="6F0A11AB"/>
    <w:rsid w:val="6FF229B5"/>
    <w:rsid w:val="70967A44"/>
    <w:rsid w:val="757155EF"/>
    <w:rsid w:val="773E6D83"/>
    <w:rsid w:val="79C94DD7"/>
    <w:rsid w:val="7B2F1D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11</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沵啝莪彅誰嗼煳誰視線</cp:lastModifiedBy>
  <dcterms:modified xsi:type="dcterms:W3CDTF">2022-01-13T06:05:32Z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42558E9CB7954F5EA4F421D56A767BA5</vt:lpwstr>
  </property>
</Properties>
</file>