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FC" w:rsidRDefault="004109FF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淄博市临淄区交通运输局</w:t>
      </w:r>
    </w:p>
    <w:p w:rsidR="00215EFC" w:rsidRDefault="004109FF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Times New Roman" w:hint="eastAsia"/>
          <w:bCs/>
          <w:color w:val="000000" w:themeColor="text1"/>
          <w:sz w:val="44"/>
          <w:szCs w:val="44"/>
          <w:shd w:val="clear" w:color="auto" w:fill="FFFFFF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年政府信息公开工作年度报告</w:t>
      </w:r>
    </w:p>
    <w:p w:rsidR="00215EFC" w:rsidRDefault="00215EFC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p w:rsidR="00215EFC" w:rsidRDefault="004109FF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本年度报告中所列数据的统计期限自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日起，至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12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31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日止。如对报告内容有疑问，请与淄博市临淄区交通运输局联系（地址：牛山路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269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号；邮编：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255400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；电话：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0533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-7180056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；邮箱：</w:t>
      </w:r>
      <w:r>
        <w:rPr>
          <w:rFonts w:ascii="Times New Roman" w:eastAsia="仿宋_GB2312" w:hAnsi="Times New Roman" w:cs="仿宋_GB2312"/>
          <w:color w:val="000000"/>
          <w:sz w:val="32"/>
          <w:szCs w:val="32"/>
        </w:rPr>
        <w:t>lzqjtysjbgs@zb.shandong.cn</w:t>
      </w:r>
      <w:r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）。</w:t>
      </w:r>
    </w:p>
    <w:p w:rsidR="00215EFC" w:rsidRDefault="004109FF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 w:cs="黑体"/>
          <w:color w:val="000000" w:themeColor="text1"/>
          <w:sz w:val="32"/>
          <w:szCs w:val="32"/>
        </w:rPr>
      </w:pPr>
      <w:r>
        <w:rPr>
          <w:rFonts w:ascii="Times New Roman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一、总体情况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，临淄区交通运输局深入贯彻落实国家、省、市、区关于政务公开工作的各项要求，依据《中华人民共和国政府信息公开条例》，围绕部门职责，以制度化、规范化管理为抓手，持续推进政府信息公开工作。通过强化公开意识、拓展公开渠道、提升公开效果，推动政务公开常态化、规范化运行，切实保障人民群众的知情权、参与权和监督权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（一）主动公开</w:t>
      </w: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工作稳步推进</w:t>
      </w: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。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仿宋" w:hAnsi="仿宋" w:hint="eastAsia"/>
          <w:color w:val="000000" w:themeColor="text1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区交通运输局共发布公开</w:t>
      </w:r>
      <w:r>
        <w:rPr>
          <w:rFonts w:ascii="Times New Roman" w:eastAsia="仿宋_GB2312" w:hAnsi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 w:hint="eastAsia"/>
          <w:sz w:val="32"/>
          <w:szCs w:val="32"/>
        </w:rPr>
        <w:t>59</w:t>
      </w:r>
      <w:r>
        <w:rPr>
          <w:rFonts w:ascii="Times New Roman" w:eastAsia="仿宋_GB2312" w:hAnsi="Times New Roman" w:hint="eastAsia"/>
          <w:sz w:val="32"/>
          <w:szCs w:val="32"/>
        </w:rPr>
        <w:t>条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。其中，业务工作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条、机构职能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条、政府信息公开指南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条、部门会议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条、民生公益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条、财政信息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条、“双随机、一公开”信息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条、行政执法信息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23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条、政府信息公开年度报告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条、政务公开保障机制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条、主动公开基本目录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条、招标投标行政监督责任清单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（二）依申请公开</w:t>
      </w: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依法规范</w:t>
      </w: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收到依申请公开政府信息的请求信息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条，无不予公开政府信息的情况。</w:t>
      </w:r>
    </w:p>
    <w:p w:rsidR="00C025DD" w:rsidRDefault="004109FF">
      <w:pPr>
        <w:spacing w:line="560" w:lineRule="exact"/>
        <w:ind w:firstLineChars="200" w:firstLine="640"/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lastRenderedPageBreak/>
        <w:t>（三）</w:t>
      </w: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信息管理</w:t>
      </w: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机制持续完善</w:t>
      </w: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一是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动态更新</w:t>
      </w:r>
      <w:r w:rsidR="00B14ACD" w:rsidRP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政务信息公开指南</w:t>
      </w:r>
      <w:r w:rsidR="00606D6A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和</w:t>
      </w:r>
      <w:r w:rsidR="00606D6A" w:rsidRPr="00606D6A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政府信息主动公开目录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严格执行信息发布“三审”制度及保密审查机制，确保公开信息准确、权威、安全。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二是</w:t>
      </w:r>
      <w:r w:rsidR="00B92EA0" w:rsidRP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持续做好规范性文件管理工作，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2025</w:t>
      </w:r>
      <w:r w:rsidR="00B92EA0" w:rsidRP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年未发布行政规范性文件。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三是定期对门户网站等平台已发布信息进行排查、更新和维护，确保信息的时效性和准确性。</w:t>
      </w:r>
    </w:p>
    <w:p w:rsidR="00C025DD" w:rsidRDefault="004109FF">
      <w:pPr>
        <w:spacing w:line="560" w:lineRule="exact"/>
        <w:ind w:firstLineChars="200" w:firstLine="640"/>
        <w:rPr>
          <w:rFonts w:ascii="Times New Roman" w:eastAsia="仿宋_GB2312" w:hAnsi="Times New Roman" w:hint="eastAsia"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（四）</w:t>
      </w: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公开平台建设不断深化</w:t>
      </w: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一是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依托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临淄</w:t>
      </w:r>
      <w:r w:rsidR="00B14ACD" w:rsidRP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区人民政府网站政务公开专栏进行政务信息公开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，新增</w:t>
      </w:r>
      <w:r w:rsid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招标投标行政监督责任清单，</w:t>
      </w:r>
      <w:r w:rsidR="00B14AC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优化栏目设置</w:t>
      </w:r>
      <w:r w:rsidR="00B14A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提升平台服务功能。二是积极利用</w:t>
      </w:r>
      <w:r w:rsid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淄博交通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 w:rsid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临淄发布、政风行风热线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等多种载体，延伸公开触角，推动重要政策、便民信息精准推送、广泛传播。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u w:val="single"/>
          <w:shd w:val="clear" w:color="auto" w:fill="FFFFFF"/>
        </w:rPr>
      </w:pPr>
      <w:r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（五）监督保障措施扎实有力。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一是将政务公开工作纳入年度重点工作任务和考核体系，定期召开专题会议研究部署。二是组织参加区级专题培训，</w:t>
      </w:r>
      <w:r w:rsidR="00B92EA0" w:rsidRPr="00B92EA0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学习《中华人民共和国政府信息公开条例》和政府信息公开工作有关制度、规定，</w:t>
      </w:r>
      <w:r w:rsidR="00C025DD" w:rsidRPr="00C025D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不断提升工作人员的政策把握能力和业务操作水平。三是主动接受社会监督，对外公开监督渠道，对内加强日常监测与定期自查，对发现的问题立行立改，确保公开工作规范运行、取得实效。</w:t>
      </w:r>
    </w:p>
    <w:p w:rsidR="00215EFC" w:rsidRDefault="004109F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二、主动公开政府信息情况</w:t>
      </w:r>
    </w:p>
    <w:p w:rsidR="00215EFC" w:rsidRDefault="00215EFC" w:rsidP="00C025DD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tbl>
      <w:tblPr>
        <w:tblW w:w="8925" w:type="dxa"/>
        <w:jc w:val="center"/>
        <w:tblCellMar>
          <w:left w:w="0" w:type="dxa"/>
          <w:right w:w="0" w:type="dxa"/>
        </w:tblCellMar>
        <w:tblLook w:val="04A0"/>
      </w:tblPr>
      <w:tblGrid>
        <w:gridCol w:w="2691"/>
        <w:gridCol w:w="1984"/>
        <w:gridCol w:w="2029"/>
        <w:gridCol w:w="2221"/>
      </w:tblGrid>
      <w:tr w:rsidR="00215EFC">
        <w:trPr>
          <w:trHeight w:val="473"/>
          <w:jc w:val="center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第二十条第（一）项</w:t>
            </w:r>
          </w:p>
        </w:tc>
      </w:tr>
      <w:tr w:rsidR="00215EFC">
        <w:trPr>
          <w:trHeight w:val="55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现行有效件数</w:t>
            </w:r>
          </w:p>
        </w:tc>
      </w:tr>
      <w:tr w:rsidR="00215EFC">
        <w:trPr>
          <w:trHeight w:val="558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215EFC">
        <w:trPr>
          <w:trHeight w:val="55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215EFC">
        <w:trPr>
          <w:trHeight w:val="539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第二十条第（五）项</w:t>
            </w:r>
          </w:p>
        </w:tc>
      </w:tr>
      <w:tr w:rsidR="00215EFC">
        <w:trPr>
          <w:trHeight w:val="62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本年处理决定数量</w:t>
            </w:r>
          </w:p>
        </w:tc>
      </w:tr>
      <w:tr w:rsidR="00215EFC">
        <w:trPr>
          <w:trHeight w:val="544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215EFC">
        <w:trPr>
          <w:trHeight w:val="408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第二十条第（六）项</w:t>
            </w:r>
          </w:p>
        </w:tc>
      </w:tr>
      <w:tr w:rsidR="00215EFC">
        <w:trPr>
          <w:trHeight w:val="481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本年处理决定数量</w:t>
            </w:r>
          </w:p>
        </w:tc>
      </w:tr>
      <w:tr w:rsidR="00215EFC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601</w:t>
            </w:r>
          </w:p>
        </w:tc>
      </w:tr>
      <w:tr w:rsidR="00215EFC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</w:tr>
      <w:tr w:rsidR="00215EFC">
        <w:trPr>
          <w:trHeight w:val="471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第二十条第（八）项</w:t>
            </w:r>
          </w:p>
        </w:tc>
      </w:tr>
      <w:tr w:rsidR="00215EFC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本年收费金额（单位：万元）</w:t>
            </w:r>
          </w:p>
        </w:tc>
      </w:tr>
      <w:tr w:rsidR="00215EFC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</w:tbl>
    <w:p w:rsidR="00215EFC" w:rsidRDefault="004109FF">
      <w:pPr>
        <w:widowControl/>
        <w:numPr>
          <w:ilvl w:val="0"/>
          <w:numId w:val="1"/>
        </w:numPr>
        <w:spacing w:before="100" w:beforeAutospacing="1" w:after="100" w:afterAutospacing="1" w:line="560" w:lineRule="atLeast"/>
        <w:ind w:firstLine="64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收到和处理政府信息公开申请情况</w:t>
      </w:r>
    </w:p>
    <w:tbl>
      <w:tblPr>
        <w:tblW w:w="9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5"/>
        <w:gridCol w:w="1699"/>
        <w:gridCol w:w="2973"/>
        <w:gridCol w:w="752"/>
        <w:gridCol w:w="540"/>
        <w:gridCol w:w="540"/>
        <w:gridCol w:w="720"/>
        <w:gridCol w:w="675"/>
        <w:gridCol w:w="526"/>
        <w:gridCol w:w="701"/>
      </w:tblGrid>
      <w:tr w:rsidR="00215EFC">
        <w:trPr>
          <w:trHeight w:val="413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jc w:val="center"/>
              <w:rPr>
                <w:rFonts w:ascii="楷体_GB2312" w:eastAsia="楷体_GB2312" w:hAnsi="黑体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（本列数据的勾稽关系为：第一项加第二项之和，</w:t>
            </w:r>
          </w:p>
          <w:p w:rsidR="00215EFC" w:rsidRDefault="004109FF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7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215EFC">
        <w:trPr>
          <w:trHeight w:val="425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5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215EFC">
        <w:trPr>
          <w:trHeight w:val="90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15EFC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ascii="黑体" w:eastAsia="黑体" w:hAnsi="黑体" w:hint="eastAsia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215EFC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215EFC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215EFC" w:rsidRDefault="004109FF">
            <w:pPr>
              <w:widowControl/>
              <w:spacing w:after="1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三、本年度办</w:t>
            </w: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（一）予以公开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ascii="黑体" w:eastAsia="黑体" w:hAnsi="黑体" w:hint="eastAsia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黑体" w:hint="eastAsia"/>
                <w:kern w:val="0"/>
                <w:szCs w:val="21"/>
              </w:rPr>
              <w:t>属于国家秘密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2" w:name="_Hlk66974104"/>
            <w:r>
              <w:rPr>
                <w:rFonts w:ascii="仿宋_GB2312" w:eastAsia="仿宋_GB2312" w:hAnsi="黑体" w:hint="eastAsia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</w:t>
            </w:r>
            <w:r>
              <w:rPr>
                <w:rFonts w:ascii="仿宋_GB2312" w:eastAsia="仿宋_GB2312" w:hAnsi="黑体" w:hint="eastAsia"/>
                <w:kern w:val="0"/>
                <w:szCs w:val="21"/>
              </w:rPr>
              <w:t>危及“三安全一稳定”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</w:t>
            </w:r>
            <w:bookmarkStart w:id="3" w:name="_Hlk66974290"/>
            <w:r>
              <w:rPr>
                <w:rFonts w:ascii="仿宋_GB2312" w:eastAsia="仿宋_GB2312" w:hAnsi="黑体" w:hint="eastAsia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</w:t>
            </w:r>
            <w:r>
              <w:rPr>
                <w:rFonts w:ascii="仿宋_GB2312" w:eastAsia="仿宋_GB2312" w:hAnsi="黑体" w:hint="eastAsia"/>
                <w:kern w:val="0"/>
                <w:szCs w:val="21"/>
              </w:rPr>
              <w:t>属于三类内部事务信息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6.</w:t>
            </w:r>
            <w:bookmarkStart w:id="4" w:name="_Hlk66974555"/>
            <w:r>
              <w:rPr>
                <w:rFonts w:ascii="仿宋_GB2312" w:eastAsia="仿宋_GB2312" w:hAnsi="黑体" w:hint="eastAsia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7.</w:t>
            </w:r>
            <w:r>
              <w:rPr>
                <w:rFonts w:ascii="仿宋_GB2312" w:eastAsia="仿宋_GB2312" w:hAnsi="黑体" w:hint="eastAsia"/>
                <w:kern w:val="0"/>
                <w:szCs w:val="21"/>
              </w:rPr>
              <w:t>属于行政执法案卷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8.</w:t>
            </w:r>
            <w:bookmarkStart w:id="5" w:name="_Hlk66975211"/>
            <w:r>
              <w:rPr>
                <w:rFonts w:ascii="仿宋_GB2312" w:eastAsia="仿宋_GB2312" w:hAnsi="黑体" w:hint="eastAsia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黑体" w:hint="eastAsia"/>
                <w:kern w:val="0"/>
                <w:szCs w:val="21"/>
              </w:rPr>
              <w:t>本机关不掌握相关政府信息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6" w:name="_Hlk66975392"/>
            <w:r>
              <w:rPr>
                <w:rFonts w:ascii="仿宋_GB2312" w:eastAsia="仿宋_GB2312" w:hAnsi="黑体" w:hint="eastAsia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</w:t>
            </w:r>
            <w:bookmarkStart w:id="7" w:name="_Hlk66975466"/>
            <w:r>
              <w:rPr>
                <w:rFonts w:ascii="仿宋_GB2312" w:eastAsia="仿宋_GB2312" w:hAnsi="黑体" w:hint="eastAsia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</w:t>
            </w:r>
            <w:bookmarkStart w:id="8" w:name="_Hlk66975537"/>
            <w:r>
              <w:rPr>
                <w:rFonts w:ascii="仿宋_GB2312" w:eastAsia="仿宋_GB2312" w:hAnsi="黑体" w:hint="eastAsia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r>
              <w:rPr>
                <w:rFonts w:ascii="仿宋_GB2312" w:eastAsia="仿宋_GB2312" w:hAnsi="黑体" w:hint="eastAsia"/>
                <w:kern w:val="0"/>
                <w:szCs w:val="21"/>
              </w:rPr>
              <w:t>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</w:t>
            </w:r>
            <w:r>
              <w:rPr>
                <w:rFonts w:ascii="仿宋_GB2312" w:eastAsia="仿宋_GB2312" w:hAnsi="黑体" w:hint="eastAsia"/>
                <w:kern w:val="0"/>
                <w:szCs w:val="21"/>
              </w:rPr>
              <w:t>要求提供公开出版物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trHeight w:hRule="exact" w:val="397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</w:t>
            </w:r>
            <w:r>
              <w:rPr>
                <w:rFonts w:ascii="仿宋_GB2312" w:eastAsia="仿宋_GB2312" w:hAnsi="黑体" w:hint="eastAsia"/>
                <w:kern w:val="0"/>
                <w:szCs w:val="21"/>
              </w:rPr>
              <w:t>无正当理由大量反复申请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</w:t>
            </w:r>
            <w:r>
              <w:rPr>
                <w:rFonts w:ascii="仿宋_GB2312" w:eastAsia="仿宋_GB2312" w:hAnsi="黑体" w:hint="eastAsia"/>
                <w:kern w:val="0"/>
                <w:szCs w:val="21"/>
              </w:rPr>
              <w:t>要求行政机关确认或重新</w:t>
            </w:r>
          </w:p>
          <w:p w:rsidR="00215EFC" w:rsidRDefault="004109FF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楷体"/>
              </w:rPr>
            </w:pPr>
            <w:r>
              <w:rPr>
                <w:rFonts w:ascii="仿宋_GB2312" w:eastAsia="仿宋_GB2312" w:hAnsi="楷体" w:hint="eastAsia"/>
              </w:rPr>
              <w:t>1.</w:t>
            </w:r>
            <w:r>
              <w:rPr>
                <w:rFonts w:ascii="仿宋_GB2312" w:eastAsia="仿宋_GB2312" w:hAnsi="楷体" w:hint="eastAsia"/>
              </w:rPr>
              <w:t>申请人无正当理由逾期不补正、行政机关不再处理其政府信息公开申请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2.</w:t>
            </w:r>
            <w:r>
              <w:rPr>
                <w:rFonts w:ascii="仿宋_GB2312" w:eastAsia="仿宋_GB2312" w:hAnsi="楷体" w:hint="eastAsia"/>
              </w:rPr>
              <w:t>申请人逾期未按收费通知要求缴纳费用、行政机关不再处理其政府信息公开申请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3.</w:t>
            </w:r>
            <w:r>
              <w:rPr>
                <w:rFonts w:ascii="仿宋_GB2312" w:eastAsia="仿宋_GB2312" w:hAnsi="楷体" w:hint="eastAsia"/>
              </w:rPr>
              <w:t>其他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215EFC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215EFC" w:rsidRDefault="00215EFC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215EFC"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</w:tbl>
    <w:p w:rsidR="00215EFC" w:rsidRDefault="004109FF">
      <w:pPr>
        <w:widowControl/>
        <w:spacing w:before="100" w:beforeAutospacing="1" w:after="100" w:afterAutospacing="1" w:line="560" w:lineRule="atLeast"/>
        <w:ind w:firstLineChars="200" w:firstLine="64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四、政府信息公开行政复议、行政诉讼情况</w:t>
      </w:r>
    </w:p>
    <w:tbl>
      <w:tblPr>
        <w:tblW w:w="9885" w:type="dxa"/>
        <w:jc w:val="center"/>
        <w:tblCellMar>
          <w:left w:w="0" w:type="dxa"/>
          <w:right w:w="0" w:type="dxa"/>
        </w:tblCellMar>
        <w:tblLook w:val="04A0"/>
      </w:tblPr>
      <w:tblGrid>
        <w:gridCol w:w="674"/>
        <w:gridCol w:w="708"/>
        <w:gridCol w:w="708"/>
        <w:gridCol w:w="708"/>
        <w:gridCol w:w="425"/>
        <w:gridCol w:w="709"/>
        <w:gridCol w:w="708"/>
        <w:gridCol w:w="709"/>
        <w:gridCol w:w="744"/>
        <w:gridCol w:w="532"/>
        <w:gridCol w:w="709"/>
        <w:gridCol w:w="708"/>
        <w:gridCol w:w="709"/>
        <w:gridCol w:w="709"/>
        <w:gridCol w:w="425"/>
      </w:tblGrid>
      <w:tr w:rsidR="00215EFC">
        <w:trPr>
          <w:trHeight w:val="472"/>
          <w:jc w:val="center"/>
        </w:trPr>
        <w:tc>
          <w:tcPr>
            <w:tcW w:w="32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6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行政诉讼</w:t>
            </w:r>
          </w:p>
        </w:tc>
      </w:tr>
      <w:tr w:rsidR="00215EFC">
        <w:trPr>
          <w:trHeight w:val="563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复议后起诉</w:t>
            </w:r>
          </w:p>
        </w:tc>
      </w:tr>
      <w:tr w:rsidR="00215EF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5EFC" w:rsidRDefault="00215EF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EFC" w:rsidRDefault="004109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215EFC">
        <w:trPr>
          <w:trHeight w:val="57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FC" w:rsidRDefault="004109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</w:tbl>
    <w:p w:rsidR="00215EFC" w:rsidRDefault="004109F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五、存在的主要问题及改进情况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（一）存在问题：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是主动公开信息的全面性和深度有待加强，部分领域信息发布内容较为基础；二是信息公开平台便民服务水平仍有提升空间，门户网站与新媒体的信息整合与呈现方式可进一步优化；三是部分工作人员对信息公开政策的把握和业务能力需持续提升。</w:t>
      </w:r>
    </w:p>
    <w:p w:rsidR="00215EFC" w:rsidRDefault="004109F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（二）改进措施：</w:t>
      </w:r>
      <w:r>
        <w:rPr>
          <w:rFonts w:ascii="Times New Roman" w:eastAsia="仿宋_GB2312" w:hAnsi="Times New Roman" w:hint="eastAsia"/>
          <w:sz w:val="32"/>
          <w:szCs w:val="32"/>
        </w:rPr>
        <w:t>一是加强信息梳理与报送，细化公开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目录，逐步扩展重点领域信息公开内容；二是完善门户网站栏目设置，推动多渠道信息同步更新；三是组织参与政务公开专题培训，开展内部学习交流，提升工作人员政策理解和实务操作能力。</w:t>
      </w:r>
    </w:p>
    <w:p w:rsidR="00215EFC" w:rsidRDefault="004109FF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六、其他需要报告的事项</w:t>
      </w:r>
    </w:p>
    <w:p w:rsidR="00215EFC" w:rsidRDefault="004109FF">
      <w:pPr>
        <w:spacing w:line="560" w:lineRule="exact"/>
        <w:ind w:firstLineChars="200" w:firstLine="640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（一）收取信息处理费情况。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无收取信息处理费情况。</w:t>
      </w:r>
    </w:p>
    <w:p w:rsidR="00215EFC" w:rsidRPr="00491A18" w:rsidRDefault="004109F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（二）人大代表建议和政协提案办理情况。</w:t>
      </w:r>
      <w:bookmarkStart w:id="9" w:name="_GoBack"/>
      <w:r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2025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年区交通运输局共收到区十九届人大四次会议</w:t>
      </w:r>
      <w:r w:rsidR="00491A18"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项建议，政协十一届四次会议</w:t>
      </w:r>
      <w:r w:rsidR="00491A18"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项提案，我们对收到的全部提案建议进行了认真办理，办结率</w:t>
      </w:r>
      <w:r w:rsidRPr="00491A1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100%</w:t>
      </w:r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bookmarkEnd w:id="9"/>
      <w:r w:rsidRPr="00491A18"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</w:p>
    <w:p w:rsidR="00215EFC" w:rsidRDefault="004109F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（三）政务公开工作创新情况。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日常</w:t>
      </w:r>
      <w:r w:rsidR="00491A18">
        <w:rPr>
          <w:rFonts w:ascii="仿宋_GB2312" w:eastAsia="仿宋_GB2312" w:hint="eastAsia"/>
          <w:color w:val="000000" w:themeColor="text1"/>
          <w:sz w:val="32"/>
          <w:szCs w:val="32"/>
        </w:rPr>
        <w:t>结合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道路运输执法检查，面向运输企业同步开展普法宣传，传达法律法规要求，引导企业合规经营，增强行业法治意识，持续提升政策普及面与影响力。</w:t>
      </w:r>
    </w:p>
    <w:p w:rsidR="00215EFC" w:rsidRDefault="004109F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（四）年度工作要点落实情况。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聚焦民生关切，主动回应群众关注度高的事项和项目；加大执法信息公开力度，定期公布行政执法结果，促进执法过程透明化、规范化；推进重点工作的全程公开，系统梳理并动态发布年度重要任务清单；依法公开部门预决算及相关财务报表，持续提升财政管理透明度。</w:t>
      </w:r>
    </w:p>
    <w:sectPr w:rsidR="00215EFC" w:rsidSect="00215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9FF" w:rsidRDefault="004109FF" w:rsidP="00C025DD">
      <w:r>
        <w:separator/>
      </w:r>
    </w:p>
  </w:endnote>
  <w:endnote w:type="continuationSeparator" w:id="1">
    <w:p w:rsidR="004109FF" w:rsidRDefault="004109FF" w:rsidP="00C02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9FF" w:rsidRDefault="004109FF" w:rsidP="00C025DD">
      <w:r>
        <w:separator/>
      </w:r>
    </w:p>
  </w:footnote>
  <w:footnote w:type="continuationSeparator" w:id="1">
    <w:p w:rsidR="004109FF" w:rsidRDefault="004109FF" w:rsidP="00C02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1AE660"/>
    <w:multiLevelType w:val="singleLevel"/>
    <w:tmpl w:val="DD1AE66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AF18C8"/>
    <w:rsid w:val="9BFA0E74"/>
    <w:rsid w:val="BEED8BB0"/>
    <w:rsid w:val="BF615880"/>
    <w:rsid w:val="D53DE8D9"/>
    <w:rsid w:val="EDD9EA72"/>
    <w:rsid w:val="FDB5CE77"/>
    <w:rsid w:val="FFB6A4CE"/>
    <w:rsid w:val="000211C6"/>
    <w:rsid w:val="000A5243"/>
    <w:rsid w:val="000A549D"/>
    <w:rsid w:val="000C1353"/>
    <w:rsid w:val="000F025D"/>
    <w:rsid w:val="00144211"/>
    <w:rsid w:val="001471A7"/>
    <w:rsid w:val="00167DC6"/>
    <w:rsid w:val="00177A9E"/>
    <w:rsid w:val="0019052A"/>
    <w:rsid w:val="00193E65"/>
    <w:rsid w:val="001B2939"/>
    <w:rsid w:val="001D0201"/>
    <w:rsid w:val="001F4A6D"/>
    <w:rsid w:val="001F4B6F"/>
    <w:rsid w:val="00206068"/>
    <w:rsid w:val="00215EFC"/>
    <w:rsid w:val="002314BC"/>
    <w:rsid w:val="00242628"/>
    <w:rsid w:val="00244094"/>
    <w:rsid w:val="00262471"/>
    <w:rsid w:val="002705CA"/>
    <w:rsid w:val="0028323B"/>
    <w:rsid w:val="00285C52"/>
    <w:rsid w:val="0029127E"/>
    <w:rsid w:val="002948C2"/>
    <w:rsid w:val="00294E2A"/>
    <w:rsid w:val="002C3DD2"/>
    <w:rsid w:val="002E05D0"/>
    <w:rsid w:val="002E5386"/>
    <w:rsid w:val="002F2FA9"/>
    <w:rsid w:val="002F7863"/>
    <w:rsid w:val="00321A47"/>
    <w:rsid w:val="0035606F"/>
    <w:rsid w:val="00364C38"/>
    <w:rsid w:val="003A27A2"/>
    <w:rsid w:val="003A7C66"/>
    <w:rsid w:val="003B0C8C"/>
    <w:rsid w:val="003E479B"/>
    <w:rsid w:val="003F1E81"/>
    <w:rsid w:val="004109FF"/>
    <w:rsid w:val="00414181"/>
    <w:rsid w:val="0042066E"/>
    <w:rsid w:val="004213D7"/>
    <w:rsid w:val="00424A2A"/>
    <w:rsid w:val="00441225"/>
    <w:rsid w:val="00474F06"/>
    <w:rsid w:val="00491A18"/>
    <w:rsid w:val="004C4094"/>
    <w:rsid w:val="004D28BA"/>
    <w:rsid w:val="004F6770"/>
    <w:rsid w:val="00503721"/>
    <w:rsid w:val="00511757"/>
    <w:rsid w:val="005267EB"/>
    <w:rsid w:val="00571091"/>
    <w:rsid w:val="005C6818"/>
    <w:rsid w:val="005F3073"/>
    <w:rsid w:val="006060C1"/>
    <w:rsid w:val="00606D6A"/>
    <w:rsid w:val="00636892"/>
    <w:rsid w:val="00651E09"/>
    <w:rsid w:val="006A0830"/>
    <w:rsid w:val="006C4A40"/>
    <w:rsid w:val="006D4033"/>
    <w:rsid w:val="006D63E2"/>
    <w:rsid w:val="006E3116"/>
    <w:rsid w:val="007034C0"/>
    <w:rsid w:val="00723F95"/>
    <w:rsid w:val="00735753"/>
    <w:rsid w:val="007428E7"/>
    <w:rsid w:val="00751096"/>
    <w:rsid w:val="00780B00"/>
    <w:rsid w:val="007B55F1"/>
    <w:rsid w:val="00836538"/>
    <w:rsid w:val="0085454B"/>
    <w:rsid w:val="008545C1"/>
    <w:rsid w:val="00862CFC"/>
    <w:rsid w:val="008832A6"/>
    <w:rsid w:val="0088743B"/>
    <w:rsid w:val="008A18BB"/>
    <w:rsid w:val="008B0FD1"/>
    <w:rsid w:val="008F41B2"/>
    <w:rsid w:val="00910C63"/>
    <w:rsid w:val="00910FF1"/>
    <w:rsid w:val="0091500A"/>
    <w:rsid w:val="00941D6B"/>
    <w:rsid w:val="00966800"/>
    <w:rsid w:val="009B6360"/>
    <w:rsid w:val="00A3599F"/>
    <w:rsid w:val="00A51642"/>
    <w:rsid w:val="00A62E95"/>
    <w:rsid w:val="00A65C21"/>
    <w:rsid w:val="00A76232"/>
    <w:rsid w:val="00A8000E"/>
    <w:rsid w:val="00A82D47"/>
    <w:rsid w:val="00AE2FBA"/>
    <w:rsid w:val="00B14ACD"/>
    <w:rsid w:val="00B336D9"/>
    <w:rsid w:val="00B43F22"/>
    <w:rsid w:val="00B5679B"/>
    <w:rsid w:val="00B621DB"/>
    <w:rsid w:val="00B72887"/>
    <w:rsid w:val="00B77D63"/>
    <w:rsid w:val="00B80893"/>
    <w:rsid w:val="00B92EA0"/>
    <w:rsid w:val="00B97ECC"/>
    <w:rsid w:val="00BA25FD"/>
    <w:rsid w:val="00BC1783"/>
    <w:rsid w:val="00C025DD"/>
    <w:rsid w:val="00C242BB"/>
    <w:rsid w:val="00C244F9"/>
    <w:rsid w:val="00C52B90"/>
    <w:rsid w:val="00C92419"/>
    <w:rsid w:val="00C94049"/>
    <w:rsid w:val="00CE4EC1"/>
    <w:rsid w:val="00D023B6"/>
    <w:rsid w:val="00D27F68"/>
    <w:rsid w:val="00D54FA4"/>
    <w:rsid w:val="00D64D4C"/>
    <w:rsid w:val="00D7282A"/>
    <w:rsid w:val="00D80A1A"/>
    <w:rsid w:val="00D81B0D"/>
    <w:rsid w:val="00D87B26"/>
    <w:rsid w:val="00DD7D75"/>
    <w:rsid w:val="00DE2848"/>
    <w:rsid w:val="00E031B0"/>
    <w:rsid w:val="00E03847"/>
    <w:rsid w:val="00E10B72"/>
    <w:rsid w:val="00E12108"/>
    <w:rsid w:val="00E33A33"/>
    <w:rsid w:val="00E87B61"/>
    <w:rsid w:val="00ED7F11"/>
    <w:rsid w:val="00EF3EFE"/>
    <w:rsid w:val="00EF5209"/>
    <w:rsid w:val="00EF638A"/>
    <w:rsid w:val="00F03A91"/>
    <w:rsid w:val="00F270AC"/>
    <w:rsid w:val="00F30F9D"/>
    <w:rsid w:val="00F92494"/>
    <w:rsid w:val="00FA40A6"/>
    <w:rsid w:val="00FA46F6"/>
    <w:rsid w:val="00FB1313"/>
    <w:rsid w:val="00FC14D1"/>
    <w:rsid w:val="00FC2B99"/>
    <w:rsid w:val="00FD11E4"/>
    <w:rsid w:val="00FD2F66"/>
    <w:rsid w:val="00FE1A6A"/>
    <w:rsid w:val="00FF08D4"/>
    <w:rsid w:val="099C43EE"/>
    <w:rsid w:val="0D4D54AE"/>
    <w:rsid w:val="0D72249E"/>
    <w:rsid w:val="11AF18C8"/>
    <w:rsid w:val="141D2158"/>
    <w:rsid w:val="14A02B65"/>
    <w:rsid w:val="1A6A77C7"/>
    <w:rsid w:val="1F97332B"/>
    <w:rsid w:val="26B6505F"/>
    <w:rsid w:val="2AA92E6B"/>
    <w:rsid w:val="2F6F1AFF"/>
    <w:rsid w:val="3C7E7E4E"/>
    <w:rsid w:val="4C973080"/>
    <w:rsid w:val="4F084B1F"/>
    <w:rsid w:val="4F824895"/>
    <w:rsid w:val="640A5F1B"/>
    <w:rsid w:val="645F063B"/>
    <w:rsid w:val="6FAC3CC5"/>
    <w:rsid w:val="74DC48C7"/>
    <w:rsid w:val="75BE23F1"/>
    <w:rsid w:val="77181135"/>
    <w:rsid w:val="7B950E93"/>
    <w:rsid w:val="7F7F00C0"/>
    <w:rsid w:val="7FD6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E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15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15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15E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215EFC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215EF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15E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430</Words>
  <Characters>2456</Characters>
  <Application>Microsoft Office Word</Application>
  <DocSecurity>0</DocSecurity>
  <Lines>20</Lines>
  <Paragraphs>5</Paragraphs>
  <ScaleCrop>false</ScaleCrop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81</cp:revision>
  <cp:lastPrinted>2026-01-13T06:51:00Z</cp:lastPrinted>
  <dcterms:created xsi:type="dcterms:W3CDTF">2023-01-19T07:45:00Z</dcterms:created>
  <dcterms:modified xsi:type="dcterms:W3CDTF">2026-01-19T02:10:00Z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AA997AA0745C4772A4196D817533ED9B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