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17"/>
          <w:sz w:val="44"/>
          <w:szCs w:val="44"/>
          <w:shd w:val="clear" w:color="auto" w:fill="FFFFFF"/>
        </w:rPr>
        <w:t>临淄区住房和城乡建设局2024年政府信息公开工作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shd w:val="clear" w:color="auto" w:fill="FFFFFF"/>
        </w:rPr>
        <w:t>年度报告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  <w:shd w:val="clear" w:color="auto" w:fill="FFFFFF"/>
        </w:rPr>
      </w:pP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本年度报告中所列数据统计期限从202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年1月1日到12月31日止。如对报告内容有疑问，请与临淄区住房和城乡建设局联系（地址：临淄区晏婴路179号；邮编：255400；电话：0533-7180094；邮箱：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lzqzjjbgs@zb.shandong.cn）。</w:t>
      </w:r>
    </w:p>
    <w:p>
      <w:pPr>
        <w:widowControl/>
        <w:spacing w:before="100" w:beforeAutospacing="1" w:after="100" w:afterAutospacing="1"/>
        <w:ind w:firstLine="620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auto"/>
          <w:kern w:val="0"/>
          <w:sz w:val="31"/>
          <w:szCs w:val="31"/>
        </w:rPr>
        <w:t>一、总体情况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区住建局认真学习贯彻习近平新时代中国特色社会主义思想，深入贯彻落实党的二十大和二十届二中、三中全会精神，在区委、区政府和上级业务部门的正确指导下，落实《中华人民共和国政府信息公开条例》，充分保障群众知情权、参与权、监督权。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（一）主动公开信息情况。2024年，在临淄区人民政府网站公开信息144余条。主要公开内容为：机构设置及职能变化、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住房和城乡建设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系统相关政策法规、最新财务信息、建筑行业、房地产行业、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市政行业、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燃气热力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行业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等各主管行业的相关信息、城建重点工程情况、住房保障、农村危房改造、老旧小区改造等。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（二）依申请公开工作情况。坚持依申请公开政府信息工作机制，畅通申请渠道，我局2024年共收到依申请公开11件，已全部按照规定答复。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（三）政府信息管理情况。2024年，我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不断加强和完善政府信息公开平台规范化建设，修订了信息公开指南，编制了主动公开事项目录，不断提高信息公开数量及服务质量。严格执行政府信息先审核后发布机制，对拟公开的政府信息的合法性、保密性进行严格审查、明确公开依据、公开内容和公开范围并保障信息发布的严肃性、准确性和权威性。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安排专职人员对本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信息公开信息进行采集、管理、编辑、发布等。根据各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科室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重点信息公开公示工作，及时、有效做好信息主动公开监督、指导，保证公开事项、信息及时动态更新，保障群众对公开信息的知情权、监督权。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（四）政府信息公开平台建设情况。在区政务公开办的指导下，区住建局进一步加强信息公开平台建设，及时维护政府信息公开专栏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和“临淄住建”微信公众号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信息。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同时，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利用大厅公开公示专栏、电子屏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电梯广告机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等设备进一步增强信息公开实效性，便民性、及时性，提升服务水平，提高群众对政策信息的知晓率，并按照“谁公开，谁管理、谁服务”原则，落实责任，严格审核，加强日常监管和维护，进一步推动、完善我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政府信息公开平台建设。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（五）政府信息公开监督保障情况。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多次开展政府信息公开业务培训，全体政府信息公开人员熟知各项工作要求，熟练掌握各项操作技能，确保所发布的政务信息内容准确、更新及时。将各科室政府信息公开情况纳入年底考核，确保政府信息公开工作落到实处。</w:t>
      </w:r>
    </w:p>
    <w:p>
      <w:pPr>
        <w:widowControl/>
        <w:spacing w:before="100" w:beforeAutospacing="1" w:after="100" w:afterAutospacing="1"/>
        <w:ind w:firstLine="620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auto"/>
          <w:kern w:val="0"/>
          <w:sz w:val="31"/>
          <w:szCs w:val="31"/>
        </w:rPr>
        <w:t xml:space="preserve">二、主动公开政府信息情况 </w:t>
      </w:r>
    </w:p>
    <w:tbl>
      <w:tblPr>
        <w:tblStyle w:val="7"/>
        <w:tblW w:w="9396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28"/>
        <w:gridCol w:w="1686"/>
        <w:gridCol w:w="1803"/>
        <w:gridCol w:w="197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9396" w:type="dxa"/>
            <w:gridSpan w:val="4"/>
            <w:tcBorders>
              <w:top w:val="single" w:color="2B283F" w:sz="8" w:space="0"/>
              <w:left w:val="single" w:color="3B3B44" w:sz="8" w:space="0"/>
              <w:bottom w:val="single" w:color="64647C" w:sz="8" w:space="0"/>
              <w:right w:val="single" w:color="3B3B44" w:sz="8" w:space="0"/>
            </w:tcBorders>
            <w:shd w:val="clear" w:color="auto" w:fill="B5C7E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42" w:after="100" w:afterAutospacing="1"/>
              <w:ind w:left="-1" w:right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第二十条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第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（一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）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 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  <w:jc w:val="center"/>
        </w:trPr>
        <w:tc>
          <w:tcPr>
            <w:tcW w:w="3928" w:type="dxa"/>
            <w:tcBorders>
              <w:top w:val="nil"/>
              <w:left w:val="single" w:color="3B3B44" w:sz="8" w:space="0"/>
              <w:bottom w:val="single" w:color="707790" w:sz="8" w:space="0"/>
              <w:right w:val="single" w:color="7C7C83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35" w:after="100" w:afterAutospacing="1"/>
              <w:ind w:right="27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8" w:space="0"/>
              <w:left w:val="nil"/>
              <w:bottom w:val="single" w:color="707790" w:sz="8" w:space="0"/>
              <w:right w:val="single" w:color="77778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35" w:after="100" w:afterAutospacing="1"/>
              <w:ind w:left="216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606064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35" w:after="100" w:afterAutospacing="1"/>
              <w:ind w:left="275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1979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3B3B44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30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8" w:hRule="atLeast"/>
          <w:jc w:val="center"/>
        </w:trPr>
        <w:tc>
          <w:tcPr>
            <w:tcW w:w="3928" w:type="dxa"/>
            <w:tcBorders>
              <w:top w:val="nil"/>
              <w:left w:val="single" w:color="3B3B44" w:sz="8" w:space="0"/>
              <w:bottom w:val="single" w:color="747487" w:sz="8" w:space="0"/>
              <w:right w:val="single" w:color="97979C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47" w:after="100" w:afterAutospacing="1"/>
              <w:ind w:left="93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747487" w:sz="8" w:space="0"/>
              <w:right w:val="single" w:color="939397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546080" w:sz="8" w:space="0"/>
              <w:right w:val="single" w:color="97939C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74778C" w:sz="8" w:space="0"/>
              <w:right w:val="single" w:color="3B3B3F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3928" w:type="dxa"/>
            <w:tcBorders>
              <w:top w:val="nil"/>
              <w:left w:val="single" w:color="3B3B44" w:sz="8" w:space="0"/>
              <w:bottom w:val="single" w:color="5B6080" w:sz="8" w:space="0"/>
              <w:right w:val="single" w:color="97979C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38" w:after="100" w:afterAutospacing="1"/>
              <w:ind w:left="93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5B6080" w:sz="8" w:space="0"/>
              <w:right w:val="single" w:color="939397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5B6080" w:sz="8" w:space="0"/>
              <w:right w:val="single" w:color="97939C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5B6080" w:sz="8" w:space="0"/>
              <w:right w:val="single" w:color="3B3B3F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9396" w:type="dxa"/>
            <w:gridSpan w:val="4"/>
            <w:tcBorders>
              <w:top w:val="nil"/>
              <w:left w:val="single" w:color="3B3B44" w:sz="8" w:space="0"/>
              <w:bottom w:val="single" w:color="646B80" w:sz="8" w:space="0"/>
              <w:right w:val="single" w:color="3B3B3F" w:sz="8" w:space="0"/>
            </w:tcBorders>
            <w:shd w:val="clear" w:color="auto" w:fill="B5C7E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40" w:after="100" w:afterAutospacing="1"/>
              <w:ind w:left="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第二十条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第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（五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）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 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3928" w:type="dxa"/>
            <w:tcBorders>
              <w:top w:val="nil"/>
              <w:left w:val="single" w:color="3B3B44" w:sz="8" w:space="0"/>
              <w:bottom w:val="single" w:color="80676B" w:sz="8" w:space="0"/>
              <w:right w:val="single" w:color="878787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38" w:after="100" w:afterAutospacing="1"/>
              <w:ind w:right="17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5468" w:type="dxa"/>
            <w:gridSpan w:val="3"/>
            <w:tcBorders>
              <w:top w:val="single" w:color="646B80" w:sz="8" w:space="0"/>
              <w:left w:val="nil"/>
              <w:bottom w:val="single" w:color="7C7474" w:sz="8" w:space="0"/>
              <w:right w:val="single" w:color="3B3B3F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42" w:after="100" w:afterAutospacing="1"/>
              <w:ind w:right="16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3928" w:type="dxa"/>
            <w:tcBorders>
              <w:top w:val="nil"/>
              <w:left w:val="single" w:color="3B3B44" w:sz="8" w:space="0"/>
              <w:bottom w:val="single" w:color="646487" w:sz="8" w:space="0"/>
              <w:right w:val="single" w:color="878787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40" w:after="100" w:afterAutospacing="1"/>
              <w:ind w:left="98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5468" w:type="dxa"/>
            <w:gridSpan w:val="3"/>
            <w:tcBorders>
              <w:top w:val="nil"/>
              <w:left w:val="nil"/>
              <w:bottom w:val="single" w:color="646487" w:sz="8" w:space="0"/>
              <w:right w:val="single" w:color="3B3B3F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75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3" w:hRule="atLeast"/>
          <w:jc w:val="center"/>
        </w:trPr>
        <w:tc>
          <w:tcPr>
            <w:tcW w:w="9396" w:type="dxa"/>
            <w:gridSpan w:val="4"/>
            <w:tcBorders>
              <w:top w:val="nil"/>
              <w:left w:val="single" w:color="3B3B44" w:sz="8" w:space="0"/>
              <w:bottom w:val="single" w:color="607087" w:sz="8" w:space="0"/>
              <w:right w:val="single" w:color="3B3B3F" w:sz="8" w:space="0"/>
            </w:tcBorders>
            <w:shd w:val="clear" w:color="auto" w:fill="B5C7E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42" w:after="100" w:afterAutospacing="1"/>
              <w:ind w:left="1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第二十条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第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（六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）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 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  <w:jc w:val="center"/>
        </w:trPr>
        <w:tc>
          <w:tcPr>
            <w:tcW w:w="3928" w:type="dxa"/>
            <w:tcBorders>
              <w:top w:val="nil"/>
              <w:left w:val="single" w:color="3B3B44" w:sz="8" w:space="0"/>
              <w:bottom w:val="single" w:color="8C7774" w:sz="8" w:space="0"/>
              <w:right w:val="single" w:color="909093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42" w:after="100" w:afterAutospacing="1"/>
              <w:ind w:right="8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5468" w:type="dxa"/>
            <w:gridSpan w:val="3"/>
            <w:tcBorders>
              <w:top w:val="single" w:color="607087" w:sz="8" w:space="0"/>
              <w:left w:val="nil"/>
              <w:bottom w:val="single" w:color="747074" w:sz="8" w:space="0"/>
              <w:right w:val="single" w:color="3B3B3F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42" w:after="100" w:afterAutospacing="1"/>
              <w:ind w:right="13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3928" w:type="dxa"/>
            <w:tcBorders>
              <w:top w:val="nil"/>
              <w:left w:val="single" w:color="3B3B44" w:sz="8" w:space="0"/>
              <w:bottom w:val="single" w:color="7C6B74" w:sz="8" w:space="0"/>
              <w:right w:val="single" w:color="909093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39" w:after="100" w:afterAutospacing="1"/>
              <w:ind w:left="102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5468" w:type="dxa"/>
            <w:gridSpan w:val="3"/>
            <w:tcBorders>
              <w:top w:val="nil"/>
              <w:left w:val="nil"/>
              <w:bottom w:val="single" w:color="7C6B74" w:sz="8" w:space="0"/>
              <w:right w:val="single" w:color="3B3B3F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3928" w:type="dxa"/>
            <w:tcBorders>
              <w:top w:val="nil"/>
              <w:left w:val="single" w:color="3B3B44" w:sz="8" w:space="0"/>
              <w:bottom w:val="single" w:color="646080" w:sz="8" w:space="0"/>
              <w:right w:val="single" w:color="909093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38" w:after="100" w:afterAutospacing="1"/>
              <w:ind w:left="107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5468" w:type="dxa"/>
            <w:gridSpan w:val="3"/>
            <w:tcBorders>
              <w:top w:val="nil"/>
              <w:left w:val="nil"/>
              <w:bottom w:val="single" w:color="646080" w:sz="8" w:space="0"/>
              <w:right w:val="single" w:color="3B3B3F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  <w:jc w:val="center"/>
        </w:trPr>
        <w:tc>
          <w:tcPr>
            <w:tcW w:w="9396" w:type="dxa"/>
            <w:gridSpan w:val="4"/>
            <w:tcBorders>
              <w:top w:val="nil"/>
              <w:left w:val="single" w:color="3B3B44" w:sz="8" w:space="0"/>
              <w:bottom w:val="nil"/>
              <w:right w:val="single" w:color="3B3B3F" w:sz="8" w:space="0"/>
            </w:tcBorders>
            <w:shd w:val="clear" w:color="auto" w:fill="B5C7E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42" w:after="100" w:afterAutospacing="1"/>
              <w:ind w:left="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第二十条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第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（八）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3928" w:type="dxa"/>
            <w:tcBorders>
              <w:top w:val="single" w:color="6B747C" w:sz="8" w:space="0"/>
              <w:left w:val="single" w:color="5B5B60" w:sz="8" w:space="0"/>
              <w:bottom w:val="single" w:color="77778C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35" w:after="100" w:afterAutospacing="1"/>
              <w:ind w:right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546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45" w:after="100" w:afterAutospacing="1"/>
              <w:ind w:left="1446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本年收费金额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 xml:space="preserve">  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（单位</w:t>
            </w: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：万元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  <w:jc w:val="center"/>
        </w:trPr>
        <w:tc>
          <w:tcPr>
            <w:tcW w:w="3928" w:type="dxa"/>
            <w:tcBorders>
              <w:top w:val="nil"/>
              <w:left w:val="single" w:color="5B5B60" w:sz="8" w:space="0"/>
              <w:bottom w:val="single" w:color="3B383F" w:sz="8" w:space="0"/>
              <w:right w:val="single" w:color="8C8C93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38" w:after="100" w:afterAutospacing="1"/>
              <w:ind w:left="107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5468" w:type="dxa"/>
            <w:gridSpan w:val="3"/>
            <w:tcBorders>
              <w:top w:val="nil"/>
              <w:left w:val="nil"/>
              <w:bottom w:val="single" w:color="3B383F" w:sz="8" w:space="0"/>
              <w:right w:val="single" w:color="3B3B44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</w:tbl>
    <w:p>
      <w:pPr>
        <w:widowControl/>
        <w:spacing w:before="100" w:beforeAutospacing="1" w:after="100" w:afterAutospacing="1"/>
        <w:ind w:firstLine="640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三、收到和处理政府信息公开申请情况</w:t>
      </w:r>
    </w:p>
    <w:tbl>
      <w:tblPr>
        <w:tblStyle w:val="7"/>
        <w:tblW w:w="9398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6"/>
        <w:gridCol w:w="1509"/>
        <w:gridCol w:w="2598"/>
        <w:gridCol w:w="553"/>
        <w:gridCol w:w="688"/>
        <w:gridCol w:w="687"/>
        <w:gridCol w:w="688"/>
        <w:gridCol w:w="688"/>
        <w:gridCol w:w="690"/>
        <w:gridCol w:w="66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11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1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7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4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ind w:left="180" w:hanging="18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ind w:left="180" w:hanging="18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ind w:left="180" w:hanging="18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/>
              <w:ind w:left="180" w:hanging="18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3.其他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11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5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Cs w:val="21"/>
              </w:rPr>
              <w:t>0</w:t>
            </w:r>
          </w:p>
        </w:tc>
      </w:tr>
    </w:tbl>
    <w:p>
      <w:pPr>
        <w:widowControl/>
        <w:spacing w:before="100" w:beforeAutospacing="1" w:after="100" w:afterAutospacing="1"/>
        <w:ind w:firstLine="640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四、政府信息公开行政复议、行政诉讼情况</w:t>
      </w:r>
    </w:p>
    <w:tbl>
      <w:tblPr>
        <w:tblStyle w:val="7"/>
        <w:tblW w:w="9712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4"/>
        <w:gridCol w:w="708"/>
        <w:gridCol w:w="709"/>
        <w:gridCol w:w="706"/>
        <w:gridCol w:w="428"/>
        <w:gridCol w:w="708"/>
        <w:gridCol w:w="709"/>
        <w:gridCol w:w="709"/>
        <w:gridCol w:w="709"/>
        <w:gridCol w:w="426"/>
        <w:gridCol w:w="709"/>
        <w:gridCol w:w="708"/>
        <w:gridCol w:w="709"/>
        <w:gridCol w:w="694"/>
        <w:gridCol w:w="42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行政诉讼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总计</w:t>
            </w:r>
          </w:p>
        </w:tc>
        <w:tc>
          <w:tcPr>
            <w:tcW w:w="326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复议后起诉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结果维持</w:t>
            </w:r>
          </w:p>
        </w:tc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其他结果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尚未审结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总计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结果维持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其他结果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尚未审结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6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widowControl/>
        <w:spacing w:before="100" w:beforeAutospacing="1" w:after="100" w:afterAutospacing="1"/>
        <w:ind w:firstLine="620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auto"/>
          <w:kern w:val="0"/>
          <w:sz w:val="31"/>
          <w:szCs w:val="31"/>
        </w:rPr>
        <w:t>五、存在的主要问题及改进情况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（一）主要问题：一是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部分科室政府信息公开数量较少，未做到“应公开尽公开”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；二是政府信息依申请公开事项流程仍需进一步规范。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（二）改进情况：一是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严格要求，根据各科室工作任务，合理确定每月公开信息数量，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加强工作人员信息公开培训和教育，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每季度至少举办一次培训班，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提高信息公开工作业务能力和水平；二是规范政府信息依申请公开办理。完善政府信息依申请公开事项台账，严格受理、办理、答复等环节，规范答复表述、法规适用，做到按时、合法、合规答复。</w:t>
      </w:r>
    </w:p>
    <w:p>
      <w:pPr>
        <w:widowControl/>
        <w:spacing w:before="100" w:beforeAutospacing="1" w:after="100" w:afterAutospacing="1"/>
        <w:ind w:firstLine="620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auto"/>
          <w:kern w:val="0"/>
          <w:sz w:val="31"/>
          <w:szCs w:val="31"/>
        </w:rPr>
        <w:t>六、其他需要报告的事项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（一）收取信息处理费情况。本年度未有收取信息处理费情况。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（二）本年度建议提案办理情况。本年度办理结果公开32条，其中，人大代表建议答复15条，政协委员提案答复17条。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（三）年度工作要点落实情况。2024年，区住房和城乡建设局持续做好政务公开工作，多次开展政务公开工作人员业务培训，提高工作人员业务水平。在政府网站政务公开平台公开信息144余条，充分的利用政务新媒体扩大了宣传效果。</w:t>
      </w:r>
    </w:p>
    <w:p>
      <w:pPr>
        <w:widowControl/>
        <w:spacing w:before="100" w:beforeAutospacing="1" w:after="100" w:afterAutospacing="1"/>
        <w:ind w:firstLine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（四）政务公开工作创新情况。按照“以公开为常态、不公开为例外”的原则，深化政务公开标准化规范化建设，将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政务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公开融入办文、办会程序中，做到“应公开、尽公开，应上网、尽上网”，确保公众看得到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能监督。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220"/>
    <w:rsid w:val="000F73D4"/>
    <w:rsid w:val="00156CB1"/>
    <w:rsid w:val="003531FA"/>
    <w:rsid w:val="006303E6"/>
    <w:rsid w:val="00686220"/>
    <w:rsid w:val="00737159"/>
    <w:rsid w:val="008705A9"/>
    <w:rsid w:val="00C94E6A"/>
    <w:rsid w:val="43320294"/>
    <w:rsid w:val="55DA7EE6"/>
    <w:rsid w:val="773BFD54"/>
    <w:rsid w:val="7B6D5500"/>
    <w:rsid w:val="FEFFD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  <w:rPr>
      <w:rFonts w:ascii="Calibri" w:hAnsi="Calibri" w:eastAsia="宋体" w:cs="Times New Roman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文字 Char"/>
    <w:basedOn w:val="8"/>
    <w:link w:val="2"/>
    <w:qFormat/>
    <w:uiPriority w:val="0"/>
    <w:rPr>
      <w:rFonts w:ascii="Calibri" w:hAnsi="Calibri" w:eastAsia="宋体" w:cs="Times New Roman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412</Words>
  <Characters>2354</Characters>
  <Lines>19</Lines>
  <Paragraphs>5</Paragraphs>
  <TotalTime>9</TotalTime>
  <ScaleCrop>false</ScaleCrop>
  <LinksUpToDate>false</LinksUpToDate>
  <CharactersWithSpaces>2761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2025-01-08T22:23:00Z</dcterms:created>
  <dc:creator>微软用户</dc:creator>
  <cp:lastModifiedBy>administrator</cp:lastModifiedBy>
  <dcterms:modified xsi:type="dcterms:W3CDTF">2025-01-22T14:24:40Z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092FE3C4B01B4DA0AD6049659460D67C</vt:lpwstr>
  </property>
</Properties>
</file>