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朱台镇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2020年政府信息公开工作年度报告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本年报是由朱台镇人民政府，严格按照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国办公开办函〔2019〕60号文件要求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及区政府关于政务公开工作要求编制的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2020年度政府信息公开年度报告。本报告中所列数据的统计期限自2020年1月1日起至2020年12月31日止。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，朱台镇坚持以习近平新时代中国特色社会主义思想为指导，全面贯彻落实十九大和十九届二中、三中、四中、五中全会精神，认真贯彻落实上级关于政务公开工作的部署要求，紧紧围绕区委区政府中心工作，全面推进政务公开标准化规范化建设，现将我镇2020年政府信息公开工作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（一）机构设置及组织领导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朱台镇人民政府政务信息公开机构设置在朱台镇党政办公室，由党政办公室统筹负责公开政府信息；为进一步提高政务公开水平，我镇成立了由镇长任组长、党委副书记任副组长的信息公开领导小组，党政办副主任具体负责信息公开工作，并配备了信息公开工作人员2名，信息公开领导小组成员分工明确，对政务信息公开工作的规范、有序推进提供了人员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以上级政务信息平台建设为契机，我镇今年完善了政务公开平台建设、进行了融公开平台栏目维护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了新、旧政务公开信息平台信息的迁移、梳理，确保信息迁移完整、归类清晰。当前，平台设置了25大类、54小项，包含了机构职能、法规公文、政策解读、政府工作报告、财政信息、业务工作等常规化公开内容，增加了脱贫攻坚、优化营商环境等重点工作，政府信息公开更为明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（三）网站载体运行及政府信息公布及更新情况。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我镇坚持以临淄区人民政府公开网站为公开主体，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截至2020年12月31日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主动公开业务信息112条，政策文件7份，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脱贫攻坚信息3条，未及时更新了《朱台镇人民政府信息公开指南》，未收到依申请公开事件；为了扩大政府信息公开力度，我镇以《今日朱台》微信公众号这类亲民程度高的宣传方式为辅助，重要信息同步更新；紧急信息需及时扩散时，将启动“喇叭花”智慧播报系统进行播报，通过多样化宣传方式的相互配合，确保信息能够有效传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政府信息公开队伍建设情况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一是队伍组成。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配备了信息公开工作人员2名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，多渠道收集公开信息，扩大信息来源，相互监督指导，确保信息公开准确、及时，两人互补，避免出现工作“空白地带”；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二是专业素养。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积极参加上级部门组织的集中培训4次，参加轮训1次，集中培训与个性轮训相结合的方式，不断增强平台维护能力，加深政务公开工作原则的理解，为下一步做好政务公开工作打好理论基础。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该部分以表格形式报告。表格如下：</w:t>
      </w:r>
    </w:p>
    <w:tbl>
      <w:tblPr>
        <w:tblStyle w:val="14"/>
        <w:tblW w:w="82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1888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234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本年新制作数量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本年新公开数量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对外公开总数量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规章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规范性文件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行政许可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其他对外管理服务事项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行政处罚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行政强制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上一年项目数量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本年增/减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行政事业性收费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采购项目数量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509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政府集中采购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收到和处理政府信息公开申请情况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该部分以表格形式报告。表格如下：</w:t>
      </w:r>
    </w:p>
    <w:tbl>
      <w:tblPr>
        <w:tblStyle w:val="15"/>
        <w:tblpPr w:leftFromText="181" w:rightFromText="181" w:vertAnchor="text" w:horzAnchor="page" w:tblpXSpec="center" w:tblpY="284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127"/>
        <w:gridCol w:w="1888"/>
        <w:gridCol w:w="564"/>
        <w:gridCol w:w="634"/>
        <w:gridCol w:w="634"/>
        <w:gridCol w:w="774"/>
        <w:gridCol w:w="774"/>
        <w:gridCol w:w="499"/>
        <w:gridCol w:w="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431" w:type="pct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256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31" w:type="pct"/>
            <w:gridSpan w:val="3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33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自然人</w:t>
            </w:r>
          </w:p>
        </w:tc>
        <w:tc>
          <w:tcPr>
            <w:tcW w:w="1945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法人或其他组织</w:t>
            </w:r>
          </w:p>
        </w:tc>
        <w:tc>
          <w:tcPr>
            <w:tcW w:w="29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431" w:type="pct"/>
            <w:gridSpan w:val="3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商业企业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科研机构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社会公益组织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法律服务机构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其他</w:t>
            </w:r>
          </w:p>
        </w:tc>
        <w:tc>
          <w:tcPr>
            <w:tcW w:w="291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43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43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三、本年度办理结果</w:t>
            </w:r>
          </w:p>
        </w:tc>
        <w:tc>
          <w:tcPr>
            <w:tcW w:w="17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（一）予以公开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（三）不予公开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1．属于国家秘密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2．其他法律行政法规禁止公开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3．危及“三安全一稳定”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4．保护第三方合法权益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5．属于三类内部事务信息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6．属于四类过程性信息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7．属于行政执法案卷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8．属于行政查询事项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（四）无法提供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1．本单位不掌握相关政府信息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2．没有现成信息需要另行制作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3．补正后申请内容仍不明确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（五）不予处理</w:t>
            </w: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1．信访举报投诉类申请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2．重复申请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3．要求提供公开出版物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4．无正当理由大量反复申请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210" w:hanging="210" w:hangingChars="1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5．要求行政机关确认或重新出具已获取信息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（六）其他处理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6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（七）总计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3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四、结转下年度继续办理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政府信息公开行政复议、行政诉讼情况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该部分以表格形式报告。表格如下：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行政复议</w:t>
            </w:r>
          </w:p>
        </w:tc>
        <w:tc>
          <w:tcPr>
            <w:tcW w:w="568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其他结果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尚未审结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总计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未经复议直接起诉</w:t>
            </w:r>
            <w:bookmarkStart w:id="0" w:name="_GoBack"/>
            <w:bookmarkEnd w:id="0"/>
          </w:p>
        </w:tc>
        <w:tc>
          <w:tcPr>
            <w:tcW w:w="28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56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56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56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56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结果维持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结果纠正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其他结果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尚未审结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总计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结果维持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结果纠正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其他结果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尚未审结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一年来，我镇政务公开工作取得了新成就，但是就上级要求还存在较大差距，主要体现在三个方面：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一是工作人员业务能力有待提升。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对公开内容、时限等基本内容掌握不扎实，缺乏多样化公开思路；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二是主动公开的意识不强。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2020年仅公开政策文件7件，没有做到应公开尽公开；在业务工作方面，虽然数量较多，但是公开内容不够全面。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三是政策解读存在短板。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政策解读方面存在空白，不利于群众理解相关文件。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下一步，我镇将在以下三方面下功夫：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是积极参加交流培训。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通过参加视频讲学、轮训等方式，不断开拓政务公开工作人员的公开思路；加强政策理论学习和理论研究，进一步提升专业水平；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二是充实公开内容。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把群众真正关心、社会关注的相关信息作为政务公开重点，提高政务公开质量；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三是多样化进行政策解读。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通过图文结合、视频讲解等方式加强对政策文件的解读力度。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无。</w:t>
      </w:r>
    </w:p>
    <w:sectPr>
      <w:footerReference r:id="rId3" w:type="default"/>
      <w:pgSz w:w="11906" w:h="16838"/>
      <w:pgMar w:top="1440" w:right="1800" w:bottom="1440" w:left="1800" w:header="851" w:footer="992" w:gutter="0"/>
      <w:lnNumType w:countBy="0" w:restart="continuous"/>
      <w:cols w:space="425" w:num="1"/>
      <w:docGrid w:type="lines" w:linePitch="312" w:charSpace="0"/>
      <mc:AlternateContent>
        <mc:Choice Requires="wpsCustomData">
          <wpsCustomData:blankLineNoLineNum/>
        </mc:Choice>
      </mc:AlternateContent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ind w:left="0"/>
      <w:rPr>
        <w:sz w:val="20"/>
      </w:rPr>
    </w:pPr>
    <w:r>
      <w:rPr>
        <w:sz w:val="20"/>
        <w:lang w:val="en-US" w:bidi="ar-SA"/>
      </w:rPr>
      <w:pict>
        <v:shape id="文本框 8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rFonts w:asciiTheme="minorEastAsia" w:hAnsiTheme="minorEastAsia" w:eastAsiaTheme="minorEastAsia" w:cstheme="minorEastAsia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B4298A"/>
    <w:multiLevelType w:val="multilevel"/>
    <w:tmpl w:val="85B4298A"/>
    <w:lvl w:ilvl="0" w:tentative="0">
      <w:start w:val="1"/>
      <w:numFmt w:val="decimal"/>
      <w:pStyle w:val="2"/>
      <w:suff w:val="space"/>
      <w:lvlText w:val="%1."/>
      <w:lvlJc w:val="left"/>
      <w:pPr>
        <w:tabs>
          <w:tab w:val="left" w:pos="420"/>
        </w:tabs>
        <w:ind w:left="0" w:firstLine="4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suff w:val="space"/>
      <w:lvlText w:val="%1.%2"/>
      <w:lvlJc w:val="left"/>
      <w:pPr>
        <w:tabs>
          <w:tab w:val="left" w:pos="420"/>
        </w:tabs>
        <w:ind w:left="0" w:firstLine="4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tabs>
          <w:tab w:val="left" w:pos="420"/>
        </w:tabs>
        <w:ind w:left="0" w:firstLine="4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tabs>
          <w:tab w:val="left" w:pos="420"/>
        </w:tabs>
        <w:ind w:left="0" w:firstLine="40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2A2E6A2"/>
    <w:multiLevelType w:val="singleLevel"/>
    <w:tmpl w:val="02A2E6A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CDE5119"/>
    <w:rsid w:val="000A1628"/>
    <w:rsid w:val="000D6C4A"/>
    <w:rsid w:val="000E61D8"/>
    <w:rsid w:val="00124155"/>
    <w:rsid w:val="00154C8D"/>
    <w:rsid w:val="00162875"/>
    <w:rsid w:val="00174DC8"/>
    <w:rsid w:val="001D1F86"/>
    <w:rsid w:val="001E2F2E"/>
    <w:rsid w:val="00296EB1"/>
    <w:rsid w:val="00303887"/>
    <w:rsid w:val="003A0F49"/>
    <w:rsid w:val="00481E75"/>
    <w:rsid w:val="004D2CF1"/>
    <w:rsid w:val="0055797E"/>
    <w:rsid w:val="005643B3"/>
    <w:rsid w:val="00627313"/>
    <w:rsid w:val="006C3007"/>
    <w:rsid w:val="006E3FF2"/>
    <w:rsid w:val="007215A6"/>
    <w:rsid w:val="0072406D"/>
    <w:rsid w:val="007D2F7C"/>
    <w:rsid w:val="00820A12"/>
    <w:rsid w:val="00857D17"/>
    <w:rsid w:val="008602C0"/>
    <w:rsid w:val="00893ABA"/>
    <w:rsid w:val="008D65EC"/>
    <w:rsid w:val="0098752B"/>
    <w:rsid w:val="0099295E"/>
    <w:rsid w:val="009B1249"/>
    <w:rsid w:val="009D1612"/>
    <w:rsid w:val="00A23474"/>
    <w:rsid w:val="00A80CB1"/>
    <w:rsid w:val="00A931EA"/>
    <w:rsid w:val="00AE7CF0"/>
    <w:rsid w:val="00B7019E"/>
    <w:rsid w:val="00BA0B20"/>
    <w:rsid w:val="00C17899"/>
    <w:rsid w:val="00C17BB9"/>
    <w:rsid w:val="00C66A78"/>
    <w:rsid w:val="00C767F8"/>
    <w:rsid w:val="00CB4FD8"/>
    <w:rsid w:val="00CC2387"/>
    <w:rsid w:val="00CE03BD"/>
    <w:rsid w:val="00D607F5"/>
    <w:rsid w:val="00DD359C"/>
    <w:rsid w:val="00DF74A4"/>
    <w:rsid w:val="00E2645A"/>
    <w:rsid w:val="00E374A3"/>
    <w:rsid w:val="00E57F6F"/>
    <w:rsid w:val="00EE24A3"/>
    <w:rsid w:val="00F41DB7"/>
    <w:rsid w:val="00F66BF8"/>
    <w:rsid w:val="00F718E2"/>
    <w:rsid w:val="08DD2FD7"/>
    <w:rsid w:val="09366BBE"/>
    <w:rsid w:val="0A967B92"/>
    <w:rsid w:val="0CDA472C"/>
    <w:rsid w:val="103C6FF6"/>
    <w:rsid w:val="117E78A5"/>
    <w:rsid w:val="16946B4B"/>
    <w:rsid w:val="19135F47"/>
    <w:rsid w:val="1D4B58FC"/>
    <w:rsid w:val="1F2C102E"/>
    <w:rsid w:val="20544CB8"/>
    <w:rsid w:val="205A38ED"/>
    <w:rsid w:val="20711667"/>
    <w:rsid w:val="2C9F4E9B"/>
    <w:rsid w:val="2CF10EB7"/>
    <w:rsid w:val="2E412DD6"/>
    <w:rsid w:val="2EEC05A0"/>
    <w:rsid w:val="36726698"/>
    <w:rsid w:val="36761A31"/>
    <w:rsid w:val="37FE167F"/>
    <w:rsid w:val="3B073507"/>
    <w:rsid w:val="3CF60E3E"/>
    <w:rsid w:val="40CB53AD"/>
    <w:rsid w:val="411F700C"/>
    <w:rsid w:val="42012E83"/>
    <w:rsid w:val="42CB2A5B"/>
    <w:rsid w:val="47057BB5"/>
    <w:rsid w:val="47DA37B8"/>
    <w:rsid w:val="4BB320C6"/>
    <w:rsid w:val="4BDE13BD"/>
    <w:rsid w:val="4E0B024D"/>
    <w:rsid w:val="50F96A91"/>
    <w:rsid w:val="528B03F8"/>
    <w:rsid w:val="592A2859"/>
    <w:rsid w:val="59934979"/>
    <w:rsid w:val="5D686C0C"/>
    <w:rsid w:val="625D3554"/>
    <w:rsid w:val="62775988"/>
    <w:rsid w:val="6764553C"/>
    <w:rsid w:val="67E27BED"/>
    <w:rsid w:val="68AE2D6E"/>
    <w:rsid w:val="6A61711B"/>
    <w:rsid w:val="6AAD3D20"/>
    <w:rsid w:val="6CE374DC"/>
    <w:rsid w:val="6E3103E6"/>
    <w:rsid w:val="6F5B62C3"/>
    <w:rsid w:val="70B919E2"/>
    <w:rsid w:val="75FE215D"/>
    <w:rsid w:val="794837D3"/>
    <w:rsid w:val="798D2570"/>
    <w:rsid w:val="7CDE5119"/>
    <w:rsid w:val="7DBA3EA7"/>
    <w:rsid w:val="7E382DB0"/>
    <w:rsid w:val="7E6C1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pPr>
      <w:ind w:left="151"/>
    </w:pPr>
    <w:rPr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15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paragraph" w:styleId="18">
    <w:name w:val="List Paragraph"/>
    <w:basedOn w:val="1"/>
    <w:qFormat/>
    <w:uiPriority w:val="1"/>
    <w:pPr>
      <w:ind w:left="151" w:firstLine="628"/>
    </w:pPr>
  </w:style>
  <w:style w:type="paragraph" w:customStyle="1" w:styleId="1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2322</Words>
  <Characters>2358</Characters>
  <Lines>44</Lines>
  <Paragraphs>12</Paragraphs>
  <TotalTime>0</TotalTime>
  <ScaleCrop>false</ScaleCrop>
  <LinksUpToDate>false</LinksUpToDate>
  <CharactersWithSpaces>2358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2021-01-14T01:25:00Z</dcterms:created>
  <dc:creator>Administrator</dc:creator>
  <cp:lastModifiedBy>丁海燕</cp:lastModifiedBy>
  <dcterms:modified xsi:type="dcterms:W3CDTF">2021-01-29T07:27:33Z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208959193_btnclosed</vt:lpwstr>
  </property>
</Properties>
</file>